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napToGrid w:val="0"/>
          <w:sz w:val="44"/>
          <w:szCs w:val="36"/>
        </w:rPr>
      </w:pPr>
      <w:r>
        <w:rPr>
          <w:rFonts w:hint="eastAsia" w:ascii="方正小标宋简体" w:hAnsi="Times New Roman" w:eastAsia="方正小标宋简体"/>
          <w:snapToGrid w:val="0"/>
          <w:sz w:val="44"/>
          <w:szCs w:val="36"/>
        </w:rPr>
        <w:t>2020年度驻马店市市场监督管理局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napToGrid w:val="0"/>
          <w:sz w:val="44"/>
          <w:szCs w:val="36"/>
        </w:rPr>
      </w:pPr>
      <w:r>
        <w:rPr>
          <w:rFonts w:hint="eastAsia" w:ascii="方正小标宋简体" w:hAnsi="Times New Roman" w:eastAsia="方正小标宋简体"/>
          <w:snapToGrid w:val="0"/>
          <w:sz w:val="44"/>
          <w:szCs w:val="36"/>
        </w:rPr>
        <w:t>部门预算说明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napToGrid w:val="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ascii="黑体" w:hAnsi="Times New Roman" w:eastAsia="黑体" w:cs="黑体"/>
          <w:snapToGrid w:val="0"/>
          <w:sz w:val="56"/>
          <w:szCs w:val="56"/>
        </w:rPr>
      </w:pPr>
      <w:r>
        <w:rPr>
          <w:rFonts w:hint="eastAsia" w:ascii="黑体" w:hAnsi="Times New Roman" w:eastAsia="黑体" w:cs="黑体"/>
          <w:snapToGrid w:val="0"/>
          <w:sz w:val="56"/>
          <w:szCs w:val="56"/>
        </w:rPr>
        <w:t>目录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662" w:firstLineChars="207"/>
        <w:rPr>
          <w:rFonts w:ascii="黑体" w:hAnsi="黑体" w:eastAsia="黑体" w:cs="黑体"/>
          <w:snapToGrid w:val="0"/>
          <w:w w:val="99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第一部分驻马店市市场监理局概况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snapToGrid w:val="0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sz w:val="32"/>
          <w:szCs w:val="32"/>
        </w:rPr>
        <w:t>第二部分</w:t>
      </w: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</w:t>
      </w:r>
      <w:r>
        <w:rPr>
          <w:rFonts w:ascii="黑体" w:hAnsi="Times New Roman" w:eastAsia="黑体" w:cs="黑体"/>
          <w:snapToGrid w:val="0"/>
          <w:sz w:val="32"/>
          <w:szCs w:val="32"/>
        </w:rPr>
        <w:t xml:space="preserve"> 20</w:t>
      </w:r>
      <w:r>
        <w:rPr>
          <w:rFonts w:hint="eastAsia" w:ascii="黑体" w:hAnsi="Times New Roman" w:eastAsia="黑体" w:cs="黑体"/>
          <w:snapToGrid w:val="0"/>
          <w:sz w:val="32"/>
          <w:szCs w:val="32"/>
        </w:rPr>
        <w:t>20年度部门预算情况说明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sz w:val="32"/>
          <w:szCs w:val="32"/>
        </w:rPr>
        <w:t>第三部分名词解释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hAnsi="Times New Roman" w:eastAsia="黑体" w:cs="黑体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sz w:val="32"/>
          <w:szCs w:val="32"/>
        </w:rPr>
        <w:t>附件：</w:t>
      </w: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</w:t>
      </w:r>
      <w:r>
        <w:rPr>
          <w:rFonts w:hint="eastAsia" w:ascii="黑体" w:hAnsi="Times New Roman" w:eastAsia="黑体" w:cs="黑体"/>
          <w:snapToGrid w:val="0"/>
          <w:sz w:val="32"/>
          <w:szCs w:val="32"/>
        </w:rPr>
        <w:t>2020年度部门预算表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一、</w:t>
      </w:r>
      <w:r>
        <w:rPr>
          <w:rFonts w:hint="eastAsia" w:ascii="仿宋_GB2312" w:eastAsia="仿宋_GB2312"/>
          <w:snapToGrid w:val="0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二、</w:t>
      </w:r>
      <w:r>
        <w:rPr>
          <w:rFonts w:hint="eastAsia" w:ascii="仿宋_GB2312" w:eastAsia="仿宋_GB2312"/>
          <w:snapToGrid w:val="0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三、</w:t>
      </w:r>
      <w:r>
        <w:rPr>
          <w:rFonts w:hint="eastAsia" w:ascii="仿宋_GB2312" w:eastAsia="仿宋_GB2312"/>
          <w:snapToGrid w:val="0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四、</w:t>
      </w:r>
      <w:r>
        <w:rPr>
          <w:rFonts w:hint="eastAsia" w:ascii="仿宋_GB2312" w:eastAsia="仿宋_GB2312"/>
          <w:snapToGrid w:val="0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五、</w:t>
      </w:r>
      <w:r>
        <w:rPr>
          <w:rFonts w:hint="eastAsia" w:ascii="仿宋_GB2312" w:eastAsia="仿宋_GB2312"/>
          <w:snapToGrid w:val="0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六、</w:t>
      </w:r>
      <w:r>
        <w:rPr>
          <w:rFonts w:hint="eastAsia" w:ascii="仿宋_GB2312" w:eastAsia="仿宋_GB2312"/>
          <w:snapToGrid w:val="0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七、</w:t>
      </w:r>
      <w:r>
        <w:rPr>
          <w:rFonts w:hint="eastAsia" w:ascii="仿宋_GB2312" w:eastAsia="仿宋_GB2312"/>
          <w:snapToGrid w:val="0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 w:val="0"/>
          <w:sz w:val="32"/>
          <w:szCs w:val="32"/>
        </w:rPr>
        <w:t>八、</w:t>
      </w:r>
      <w:r>
        <w:rPr>
          <w:rFonts w:hint="eastAsia" w:ascii="仿宋_GB2312" w:eastAsia="仿宋_GB2312"/>
          <w:snapToGrid w:val="0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napToGrid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九、重点项目预算的绩效目标表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napToGrid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十、2020年部门（单位）整体绩效目标表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napToGrid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十一、部门项目绩效目标汇总表</w:t>
      </w:r>
    </w:p>
    <w:p>
      <w:pPr>
        <w:kinsoku w:val="0"/>
        <w:overflowPunct w:val="0"/>
        <w:adjustRightInd w:val="0"/>
        <w:snapToGrid w:val="0"/>
        <w:spacing w:line="580" w:lineRule="exact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十二、</w:t>
      </w:r>
      <w:r>
        <w:rPr>
          <w:rFonts w:hint="eastAsia" w:ascii="仿宋_GB2312" w:eastAsia="仿宋_GB2312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驻马店市市场监督管理局概况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一、驻马店市市场监督管理局主要职责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根据中共驻马店市委、驻马店市人民政府关于印发《驻马店市机构改革方案》的通知（驻发</w:t>
      </w:r>
      <w:r>
        <w:rPr>
          <w:rFonts w:hint="eastAsia" w:ascii="仿宋_GB2312" w:hAnsi="仿宋" w:eastAsia="仿宋_GB2312" w:cs="仿宋"/>
          <w:snapToGrid w:val="0"/>
          <w:sz w:val="32"/>
          <w:szCs w:val="32"/>
        </w:rPr>
        <w:t>〔2018〕23号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）规定，组建驻马店市市场监督管理局。2019年1月29日，驻马店市市场监督管理局正式挂牌成立，为市政府组成部门，主要职责是：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(一)贯彻执行国家有关工商行政管理的法律、法规和规章、政策,负责全市市场监督管理和行政执法有关工作,拟订全市工商行政管理规范性文件,拟订有关政策和措施并组织实施。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(二)负责各类企业、农民专业合作社和从事经营活动的单位、个人及外国(地区)企业常驻代表机构等市场主体的登记注册并监督管理,依法查处取缔无照经营。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(三)承担促进市场公平竞争、依法规范和维护全市各类市场经营秩序的相关责任,负责监督管理有关市场交易行为。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四)负责监督管理流通领域商品和服务质量,组织开展商品质量和有关服务领域消费维权工作,按分工查处假冒伪劣等违法行为,指导消费者咨询、投诉、举报受理、处理及网络体系建设等工作,保护经营者、消费者合法权益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(五)依法查处不正当竞争、商业贿赂、贩私等经济违法行为；负责规范直销行为与打击传销活动，组织查处传销案件，依法监督管理直销企业和直销员及其直销活动。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(六)负责全市市场主体信用分类管理、信用信息公示和信用监督管理工作,依法承担企业年度报告信息公示和抽检检查结果公示等工作。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(七)负责监督管理网络市场经营秩序、网络商品交易及有关服务行为。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八)负责商标管理工作,依法保护注册商标专用权,查处违反商标使用规定和侵犯注册商标专用权的行为,调解处理商标争议事宜。保护驰名商标、特殊标志、官方标志,负责河南省著名商标组织申报、驻马店市知名商标的认定和保护,拟订实施全市商标发展规划,实施商标战略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(九)指导全市广告业发展,负责广告活动的监督管理和户外广告登记工作,负责依法组织查处广告违法案件。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(十)依法实施合同行政监督管理,负责管理动产抵押物登记,监督管理拍卖行为,依法查处合同违法行为。负责依法监督管理经纪人、经纪机构及经纪活动。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(十一)负责研究分析并依法发布市场主体登记注册管理信息、商标、广告相关信息等,为政府决策和社会公众提供信息服务。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(十二)负责全市私营企业、个体工商户经营行为的服务和监督管理。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（十三）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坚持“抓质量、保安全、促发展、强质监”工作方针，继续实施质量强市和品牌带动两大战略，加强计量、标准、认证认可、检验检测等质量基础建设，以改革创新为动力，以服务发展为主线，以科技为支持，进一步提升保障质量安全和服务经济社会发展的能力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（十四）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实施质量强市战略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，继续建立完善质量考核、质量奖励、质量责任机制，推动各级政府和有关部门落实质量责任目标。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（十五）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实施品牌带动战略。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制定驻马店市十三五品牌培育发展规划，积极推动品牌培育创建工作。立足本地，培育自主品牌，着眼长远，引进外来品牌。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（十六）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创建国家农业综合示范市。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完善并实施创建国家农业综合示范市的实施方案和工作细则，积极做好汇报协调工作。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（十七）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加强检验检测技术服务平台建设。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进一步加快市综合检测基地建设进度，尽快开工，年内建成。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（十八）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建立特种设备安全监察联动机制。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安全监察和检验机构加强特种设备安全监察信息数据的审核，做到实时更新完善。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（十九）</w:t>
      </w:r>
      <w:r>
        <w:rPr>
          <w:rStyle w:val="7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建立产品质量执法联席会议制度。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质监、工商、工信、食药监、农业、畜牧、粮食等部门作为成员单位，建立产品质量执法联席会议制度，定期通报各部门产品质量违法行为的查处情况，协调对跨部门的产品质量违法行为的联合执法，对构成犯罪的移送司法机关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）贯彻实施国家、省食品（含食品添加剂、保健食品，下同）安全、药品（含中药、民族药，下同）、医疗器械、化妆品监督管理法律、法规、规章和政策、规划，组织拟订相关规范性文件和政策规划并监督实施；推动建立落实食品药品安全企业主体责任、各级政府负总责的机制，建立食品药品重大信息直报制度并组织实施，着力防范区域性、系统性食品药品安全风险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一）依法组织实施食品行政许可和质量安全监督管理。建立食品安全隐患排查治理机制，制定全市食品安全检查年度计划、重大整顿治理方案并组织落实；建立并组织实施食品安全信息统一发布制度；参与制定食品安全风险监测计划，执行食品安全标准，根据食品安全风险监测计划参与食品安全风险监测工作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二）依法组织实施药品、医疗器械有关行政许可，监督实施国家药典等药品和医疗器械标准及分类管理制度。负责药品和医疗器械研制、生产、经营、使用质量安全监管；建立药品和化妆品不良反应、医疗器械不良事件监测体系并开展监测和处置工作。配合实施国家基本药物制度；监督实施中药饮片炮制规范；组织实施化妆品的监督管理；落实执业药师资格准入制度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（二十三）负责制定食品、药品、医疗器械、化妆品监督管理的稽查制度并组织实施，组织查处重大违法行为。组织实施问题产品召回和处置制度。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（二十四）负责食品药品安全事故应急体系建设，组织、指导食品药品安全事故应急处置和调查处理工作，监督事故查处落实情况。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（二十五）负责制定全市食品药品安全科技发展规划并组织实施，推动食品药品检验检测体系、电子监管追溯体系和信息化建设。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（二十六）负责开展食品药品安全宣传、教育培训、交流与合作；推进诚信体系建设。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（二十七）分析掌握食品、药品、医疗器械、化妆品安全形势和存在问题，提出完善制度机制和改进工作的建议；指导县级食品药品监督管理工作。规范行政执法行为，完善行政执法与刑事司法衔接机制。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7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（二十八）承担市食品安全委员会日常工作。负责食品安全监督综合协调，推动健全协调联动机制；督促检查县级政府履行食品安全监督管理职责并负责考核评价。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(二十九)承办市政府交办的其他事项。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驻马店市市场监督管理局预算单位</w:t>
      </w:r>
      <w:r>
        <w:rPr>
          <w:rFonts w:hint="eastAsia" w:ascii="黑体" w:hAnsi="黑体" w:eastAsia="黑体"/>
          <w:snapToGrid w:val="0"/>
          <w:sz w:val="32"/>
          <w:szCs w:val="32"/>
          <w:lang w:eastAsia="zh-CN"/>
        </w:rPr>
        <w:t>机构设置及部门预算单位</w:t>
      </w:r>
      <w:r>
        <w:rPr>
          <w:rFonts w:hint="eastAsia" w:ascii="黑体" w:hAnsi="黑体" w:eastAsia="黑体"/>
          <w:snapToGrid w:val="0"/>
          <w:sz w:val="32"/>
          <w:szCs w:val="32"/>
        </w:rPr>
        <w:t>构成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单位机构设置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驻马店市市场监督管理局内设机构33个，包括：办公室、综合规划科、政策法规科、行政审批服务科、登记注册指导科、信用监督管理科、价格监督检查科、反不正当竞争科、网络交易监督管理科、非公经济促进科、广告监督管理科、质量发展科、产品质量安全监督管理科、食品安全协调科、</w:t>
      </w:r>
      <w:r>
        <w:rPr>
          <w:rFonts w:hint="eastAsia" w:ascii="仿宋" w:hAnsi="仿宋" w:eastAsia="仿宋" w:cs="仿宋"/>
          <w:sz w:val="32"/>
          <w:szCs w:val="32"/>
        </w:rPr>
        <w:t>食品生产监督管理科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食品流通监督管理科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餐饮食品监督管理科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食品安全抽检监测科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药品监督管理科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医疗器械监督管理科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化妆品监督管理科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药化器械安全抽检科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特种设备安全监察科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计量科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标准化科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认证监督管理科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检验检测监督管理科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知识产权促进科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知识产权保护科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人事科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科技和财务科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离退休干部工作科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机关党委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（二）部门预算单位构成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napToGrid w:val="0"/>
          <w:sz w:val="32"/>
          <w:szCs w:val="32"/>
        </w:rPr>
        <w:t>驻马店市市场监督管理局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驻马店市工商行政管理局经济检查支队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驻马店市工商行政管理局驿城分局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驻马店市工商行政管理局专业分局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驻马店市工商行政管理局开发分局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napToGrid w:val="0"/>
          <w:sz w:val="32"/>
          <w:szCs w:val="32"/>
        </w:rPr>
        <w:t>驻马店市消费者协会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驻马店市工商行政管理局信息中心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napToGrid w:val="0"/>
          <w:sz w:val="32"/>
          <w:szCs w:val="32"/>
        </w:rPr>
        <w:t>驻马店市个体私营经济协会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jc w:val="both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驻马店市质量技术监督局稽查支队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jc w:val="both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驻马店市质量技术监督检验测试中心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jc w:val="both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驻马店市纤维检验所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jc w:val="both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驻马店市质量技术监督局驿城区分局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5"/>
        <w:jc w:val="both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驻马店市质量技术监督局经济开发区分局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驻马店市食品药品检验所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15.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驻马店市食品药品监督管理局经济开发区分局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驻马店市食品药品监督管理局经济开发区分局所属事业单位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17.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驻马店市盐业执法支队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驻马店市商务稽查支队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19.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驻马店市物价检查所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20.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驻马店市知识产权维护中心</w:t>
      </w: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ascii="黑体" w:hAnsi="Times New Roman" w:eastAsia="黑体" w:cs="黑体"/>
          <w:snapToGrid w:val="0"/>
          <w:sz w:val="32"/>
          <w:szCs w:val="32"/>
        </w:rPr>
        <w:t>20</w:t>
      </w:r>
      <w:r>
        <w:rPr>
          <w:rFonts w:hint="eastAsia" w:ascii="黑体" w:hAnsi="Times New Roman" w:eastAsia="黑体" w:cs="黑体"/>
          <w:snapToGrid w:val="0"/>
          <w:sz w:val="32"/>
          <w:szCs w:val="32"/>
        </w:rPr>
        <w:t>20年度部门预算情况说明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2020年收入总计</w:t>
      </w:r>
      <w:r>
        <w:rPr>
          <w:rFonts w:hint="eastAsia" w:ascii="仿宋_GB2312" w:eastAsia="仿宋_GB2312"/>
          <w:snapToGrid w:val="0"/>
          <w:sz w:val="32"/>
          <w:szCs w:val="32"/>
        </w:rPr>
        <w:t>17109.81</w:t>
      </w:r>
      <w:r>
        <w:rPr>
          <w:rFonts w:hint="eastAsia" w:ascii="仿宋_GB2312" w:hAnsi="Times New Roman" w:eastAsia="仿宋_GB2312"/>
          <w:snapToGrid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，支出总计</w:t>
      </w:r>
      <w:r>
        <w:rPr>
          <w:rFonts w:hint="eastAsia" w:ascii="仿宋_GB2312" w:eastAsia="仿宋_GB2312"/>
          <w:snapToGrid w:val="0"/>
          <w:sz w:val="32"/>
          <w:szCs w:val="32"/>
        </w:rPr>
        <w:t>17109.81</w:t>
      </w:r>
      <w:r>
        <w:rPr>
          <w:rFonts w:hint="eastAsia" w:ascii="仿宋_GB2312" w:hAnsi="Times New Roman" w:eastAsia="仿宋_GB2312"/>
          <w:snapToGrid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，与2019年相比，收、支总计各增加304.78万元，增长1.81%。主要原因</w:t>
      </w:r>
      <w:r>
        <w:rPr>
          <w:rFonts w:hint="eastAsia" w:ascii="仿宋_GB2312" w:hAnsi="宋体" w:eastAsia="仿宋_GB2312" w:cs="Courier New"/>
          <w:b/>
          <w:snapToGrid w:val="0"/>
          <w:sz w:val="32"/>
          <w:szCs w:val="32"/>
        </w:rPr>
        <w:t>一是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正常增人增资；</w:t>
      </w:r>
      <w:r>
        <w:rPr>
          <w:rFonts w:hint="eastAsia" w:ascii="仿宋_GB2312" w:hAnsi="宋体" w:eastAsia="仿宋_GB2312" w:cs="Courier New"/>
          <w:b/>
          <w:snapToGrid w:val="0"/>
          <w:sz w:val="32"/>
          <w:szCs w:val="32"/>
        </w:rPr>
        <w:t>二是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将市盐业执法支队、市商务稽查支队、市物价检查所、市知识产权维护中心纳入我局部门预算。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sz w:val="32"/>
          <w:szCs w:val="32"/>
        </w:rPr>
        <w:t>2020年收入合计</w:t>
      </w:r>
      <w:r>
        <w:rPr>
          <w:rFonts w:hint="eastAsia" w:ascii="仿宋_GB2312" w:eastAsia="仿宋_GB2312"/>
          <w:snapToGrid w:val="0"/>
          <w:sz w:val="32"/>
          <w:szCs w:val="32"/>
        </w:rPr>
        <w:t>17109.81</w:t>
      </w:r>
      <w:r>
        <w:rPr>
          <w:rFonts w:hint="eastAsia" w:ascii="仿宋_GB2312" w:hAnsi="Times New Roman" w:eastAsia="仿宋_GB2312"/>
          <w:snapToGrid w:val="0"/>
          <w:sz w:val="32"/>
          <w:szCs w:val="32"/>
        </w:rPr>
        <w:t>万元，</w:t>
      </w:r>
      <w:r>
        <w:rPr>
          <w:rFonts w:hint="eastAsia" w:ascii="仿宋_GB2312" w:eastAsia="仿宋_GB2312"/>
          <w:snapToGrid w:val="0"/>
          <w:sz w:val="32"/>
          <w:szCs w:val="32"/>
        </w:rPr>
        <w:t>其中：一般公共预算16920.41万元，上级转移支付189.4万元。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2020年支出合计</w:t>
      </w:r>
      <w:r>
        <w:rPr>
          <w:rFonts w:hint="eastAsia" w:ascii="仿宋_GB2312" w:eastAsia="仿宋_GB2312"/>
          <w:snapToGrid w:val="0"/>
          <w:sz w:val="32"/>
          <w:szCs w:val="32"/>
        </w:rPr>
        <w:t>17109.81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万元，其中：基本支出</w:t>
      </w:r>
      <w:r>
        <w:rPr>
          <w:rFonts w:hint="eastAsia" w:ascii="仿宋_GB2312" w:eastAsia="仿宋_GB2312"/>
          <w:snapToGrid w:val="0"/>
          <w:sz w:val="32"/>
          <w:szCs w:val="32"/>
        </w:rPr>
        <w:t>13174.46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万元，占</w:t>
      </w:r>
      <w:r>
        <w:rPr>
          <w:rFonts w:hint="eastAsia" w:ascii="仿宋_GB2312" w:eastAsia="仿宋_GB2312"/>
          <w:snapToGrid w:val="0"/>
          <w:sz w:val="32"/>
          <w:szCs w:val="32"/>
        </w:rPr>
        <w:t>77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；项目支出</w:t>
      </w:r>
      <w:r>
        <w:rPr>
          <w:rFonts w:hint="eastAsia" w:ascii="仿宋_GB2312" w:eastAsia="仿宋_GB2312"/>
          <w:snapToGrid w:val="0"/>
          <w:sz w:val="32"/>
          <w:szCs w:val="32"/>
        </w:rPr>
        <w:t>3935.35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万元，占</w:t>
      </w:r>
      <w:r>
        <w:rPr>
          <w:rFonts w:hint="eastAsia" w:ascii="仿宋_GB2312" w:eastAsia="仿宋_GB2312"/>
          <w:snapToGrid w:val="0"/>
          <w:sz w:val="32"/>
          <w:szCs w:val="32"/>
        </w:rPr>
        <w:t>23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ascii="仿宋_GB2312" w:hAnsi="宋体" w:eastAsia="仿宋_GB2312" w:cs="Courier New"/>
          <w:snapToGrid w:val="0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一般公共预算收支预算</w:t>
      </w:r>
      <w:r>
        <w:rPr>
          <w:rFonts w:hint="eastAsia" w:ascii="仿宋_GB2312" w:eastAsia="仿宋_GB2312"/>
          <w:snapToGrid w:val="0"/>
          <w:sz w:val="32"/>
          <w:szCs w:val="32"/>
        </w:rPr>
        <w:t>16920.41</w:t>
      </w:r>
      <w:r>
        <w:rPr>
          <w:rFonts w:hint="eastAsia" w:ascii="仿宋_GB2312" w:hAnsi="Times New Roman" w:eastAsia="仿宋_GB2312"/>
          <w:snapToGrid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，与2019年相比，收、支总计各增加115.38万元，增长0.69%。主要原因</w:t>
      </w:r>
      <w:r>
        <w:rPr>
          <w:rFonts w:hint="eastAsia" w:ascii="仿宋_GB2312" w:hAnsi="宋体" w:eastAsia="仿宋_GB2312" w:cs="Courier New"/>
          <w:bCs/>
          <w:snapToGrid w:val="0"/>
          <w:sz w:val="32"/>
          <w:szCs w:val="32"/>
        </w:rPr>
        <w:t>同上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hAnsi="宋体" w:eastAsia="仿宋_GB2312" w:cs="Courier New"/>
          <w:snapToGrid w:val="0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20年一般公共预算支出年初预算为</w:t>
      </w:r>
      <w:r>
        <w:rPr>
          <w:rFonts w:hint="eastAsia" w:ascii="仿宋_GB2312" w:eastAsia="仿宋_GB2312"/>
          <w:snapToGrid w:val="0"/>
          <w:sz w:val="32"/>
          <w:szCs w:val="32"/>
        </w:rPr>
        <w:t>16920.41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万元。主要用于以下方面：一般公共服务（类）支出</w:t>
      </w:r>
      <w:r>
        <w:rPr>
          <w:rFonts w:hint="eastAsia" w:ascii="仿宋_GB2312" w:eastAsia="仿宋_GB2312"/>
          <w:snapToGrid w:val="0"/>
          <w:sz w:val="32"/>
          <w:szCs w:val="32"/>
        </w:rPr>
        <w:t>13454.93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万元，占</w:t>
      </w:r>
      <w:r>
        <w:rPr>
          <w:rFonts w:hint="eastAsia" w:ascii="仿宋_GB2312" w:eastAsia="仿宋_GB2312"/>
          <w:snapToGrid w:val="0"/>
          <w:sz w:val="32"/>
          <w:szCs w:val="32"/>
        </w:rPr>
        <w:t>79.52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；社会保障和就业（类）支出2140.5万元，占12.65%；医疗卫生与计划生育（类）支出751.44万元，占4.44%；住房保障（类）支出</w:t>
      </w:r>
      <w:r>
        <w:rPr>
          <w:rFonts w:hint="eastAsia" w:ascii="仿宋_GB2312" w:eastAsia="仿宋_GB2312"/>
          <w:snapToGrid w:val="0"/>
          <w:sz w:val="32"/>
          <w:szCs w:val="32"/>
        </w:rPr>
        <w:t>573.53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万元，占3.39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Times New Roman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kern w:val="0"/>
          <w:sz w:val="32"/>
          <w:szCs w:val="32"/>
        </w:rPr>
        <w:t>六、支出预算经济分类情况说明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一般公共预算基本支出预算情况说明和支出预算经济分类情况说明 2020年一般公共预算基本支出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13174.46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万元，其中：人员经费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12307.8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866.66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kern w:val="0"/>
          <w:sz w:val="32"/>
          <w:szCs w:val="32"/>
        </w:rPr>
        <w:t>七、政府性基金预算收支情况说明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局2020年没有政府性基金预算拨款安排的收入和支出。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kern w:val="0"/>
          <w:sz w:val="32"/>
          <w:szCs w:val="32"/>
        </w:rPr>
        <w:t>八、“三公”经费支出预算情况说明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2020年“三公”经费预算为</w:t>
      </w:r>
      <w:r>
        <w:rPr>
          <w:rFonts w:hint="eastAsia" w:ascii="仿宋_GB2312" w:eastAsia="仿宋_GB2312"/>
          <w:snapToGrid w:val="0"/>
          <w:sz w:val="32"/>
          <w:szCs w:val="32"/>
        </w:rPr>
        <w:t>292.57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万元，比 2019年增加16.44万元。具体支出情况如下：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napToGrid w:val="0"/>
          <w:sz w:val="32"/>
          <w:szCs w:val="32"/>
        </w:rPr>
        <w:t>因公出国（境）费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0万元，预算数与2019年无变化。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（二）公务用车购置及运行费</w:t>
      </w:r>
      <w:r>
        <w:rPr>
          <w:rFonts w:hint="eastAsia" w:ascii="仿宋_GB2312" w:eastAsia="仿宋_GB2312"/>
          <w:snapToGrid w:val="0"/>
          <w:sz w:val="32"/>
          <w:szCs w:val="32"/>
        </w:rPr>
        <w:t>258.57</w:t>
      </w:r>
      <w:r>
        <w:rPr>
          <w:rFonts w:hint="eastAsia" w:ascii="仿宋_GB2312" w:hAnsi="Times New Roman" w:eastAsia="仿宋_GB2312" w:cs="仿宋_GB2312"/>
          <w:snapToGrid w:val="0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元，其中，公务用车购置费</w:t>
      </w:r>
      <w:r>
        <w:rPr>
          <w:rFonts w:hint="eastAsia" w:ascii="仿宋_GB2312" w:eastAsia="仿宋_GB2312"/>
          <w:snapToGrid w:val="0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万元；公务用车运行维护费</w:t>
      </w:r>
      <w:r>
        <w:rPr>
          <w:rFonts w:hint="eastAsia" w:ascii="仿宋_GB2312" w:eastAsia="仿宋_GB2312"/>
          <w:snapToGrid w:val="0"/>
          <w:sz w:val="32"/>
          <w:szCs w:val="32"/>
        </w:rPr>
        <w:t>258.57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主要用于开展工作所需公务用车的燃料费、维修费、过路过桥费、保险费、安全奖励费用等支出。公务用车运行维护费预算数比2019年增加30.77万元，主要原因是市盐业执法支队、市商务稽查支队、市物价检查所、市知识产权维护中心纳入我局部门预算</w:t>
      </w:r>
      <w:r>
        <w:rPr>
          <w:rFonts w:hint="eastAsia" w:ascii="仿宋_GB2312" w:eastAsia="仿宋_GB2312"/>
          <w:snapToGrid w:val="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（三）公务接待费</w:t>
      </w:r>
      <w:r>
        <w:rPr>
          <w:rFonts w:hint="eastAsia" w:ascii="仿宋_GB2312" w:eastAsia="仿宋_GB2312"/>
          <w:snapToGrid w:val="0"/>
          <w:sz w:val="32"/>
          <w:szCs w:val="32"/>
        </w:rPr>
        <w:t>34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万元，主要用于按规定开支的各类公务接待支出。预算数比 2019年减少14.33万元。主要原因是</w:t>
      </w:r>
      <w:r>
        <w:rPr>
          <w:rFonts w:hint="eastAsia" w:ascii="仿宋_GB2312" w:eastAsia="仿宋_GB2312"/>
          <w:snapToGrid w:val="0"/>
          <w:sz w:val="32"/>
          <w:szCs w:val="32"/>
        </w:rPr>
        <w:t>严格执行《党政机关国内公务接待管理规定》等办法，不断规范公务接待管理，严格接待审批控制，厉行勤俭节约，不断压缩公务接待费支出。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黑体" w:hAnsi="Times New Roman" w:eastAsia="黑体" w:cs="黑体"/>
          <w:snapToGrid w:val="0"/>
          <w:kern w:val="0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hAnsi="宋体" w:eastAsia="仿宋_GB2312" w:cs="Courier New"/>
          <w:snapToGrid w:val="0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20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机关运行经费支出预算</w:t>
      </w:r>
      <w:r>
        <w:rPr>
          <w:rFonts w:hint="eastAsia" w:ascii="仿宋_GB2312" w:eastAsia="仿宋_GB2312"/>
          <w:snapToGrid w:val="0"/>
          <w:sz w:val="32"/>
          <w:szCs w:val="32"/>
        </w:rPr>
        <w:t>4802.01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万元，</w:t>
      </w:r>
      <w:r>
        <w:rPr>
          <w:rFonts w:hint="eastAsia" w:ascii="仿宋_GB2312" w:eastAsia="仿宋_GB2312"/>
          <w:snapToGrid w:val="0"/>
          <w:sz w:val="32"/>
          <w:szCs w:val="32"/>
        </w:rPr>
        <w:t>主要保障机构正常运转及正常履职需要。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Times New Roman" w:eastAsia="楷体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2020年政府采购预算安排2148.73万元，其中：政府采购货物预算739.87万元、政府采购工程预算49万元、政府采购服务预算1359.86万元。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（三）关于预算绩效管理工作开展情况说明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我局2020年预算项目均按要求编制了绩效目标,从项目产出、项目效益、满意度等方面设置了绩效指标,综合反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映项目预期完成的数量、实效、质量,预期达到的社会经济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效益、可持续影响以及服务对象满意度等情况。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napToGrid w:val="0"/>
          <w:kern w:val="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截至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9年年末，我局共有车辆</w:t>
      </w:r>
      <w:r>
        <w:rPr>
          <w:rFonts w:hint="eastAsia" w:ascii="仿宋_GB2312" w:eastAsia="仿宋_GB2312"/>
          <w:snapToGrid w:val="0"/>
          <w:sz w:val="32"/>
          <w:szCs w:val="32"/>
        </w:rPr>
        <w:t>110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napToGrid w:val="0"/>
          <w:sz w:val="32"/>
          <w:szCs w:val="32"/>
        </w:rPr>
        <w:t>21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辆、机要通信用车1辆、应急保障用车1辆、一般执法执勤用车</w:t>
      </w:r>
      <w:r>
        <w:rPr>
          <w:rFonts w:hint="eastAsia" w:ascii="仿宋_GB2312" w:eastAsia="仿宋_GB2312"/>
          <w:snapToGrid w:val="0"/>
          <w:sz w:val="32"/>
          <w:szCs w:val="32"/>
        </w:rPr>
        <w:t>51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辆、</w:t>
      </w:r>
      <w:r>
        <w:rPr>
          <w:rFonts w:ascii="仿宋_GB2312" w:hAnsi="宋体" w:eastAsia="仿宋_GB2312" w:cs="仿宋_GB2312"/>
          <w:snapToGrid w:val="0"/>
          <w:sz w:val="32"/>
          <w:szCs w:val="32"/>
          <w:shd w:val="clear" w:color="auto" w:fill="FFFFFF"/>
        </w:rPr>
        <w:t>特种专业技术用车</w:t>
      </w:r>
      <w:r>
        <w:rPr>
          <w:rFonts w:ascii="仿宋_GB2312" w:hAnsi="宋体" w:eastAsia="仿宋_GB2312" w:cs="仿宋_GB2312"/>
          <w:snapToGrid w:val="0"/>
          <w:sz w:val="32"/>
          <w:szCs w:val="32"/>
        </w:rPr>
        <w:t>1</w:t>
      </w:r>
      <w:r>
        <w:rPr>
          <w:rFonts w:ascii="仿宋_GB2312" w:hAnsi="宋体" w:eastAsia="仿宋_GB2312" w:cs="仿宋_GB2312"/>
          <w:snapToGrid w:val="0"/>
          <w:sz w:val="32"/>
          <w:szCs w:val="32"/>
          <w:shd w:val="clear" w:color="auto" w:fill="FFFFFF"/>
        </w:rPr>
        <w:t>辆</w:t>
      </w:r>
      <w:r>
        <w:rPr>
          <w:rFonts w:hint="eastAsia" w:ascii="仿宋_GB2312" w:hAnsi="宋体" w:eastAsia="仿宋_GB2312" w:cs="仿宋_GB2312"/>
          <w:snapToGrid w:val="0"/>
          <w:sz w:val="32"/>
          <w:szCs w:val="32"/>
          <w:shd w:val="clear" w:color="auto" w:fill="FFFFFF"/>
        </w:rPr>
        <w:t>，离退休干部用车1辆、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其他用车34辆，；单价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50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万元以上通用设备</w:t>
      </w:r>
      <w:r>
        <w:rPr>
          <w:rFonts w:hint="eastAsia" w:ascii="仿宋_GB2312" w:eastAsia="仿宋_GB2312"/>
          <w:snapToGrid w:val="0"/>
          <w:sz w:val="32"/>
          <w:szCs w:val="32"/>
        </w:rPr>
        <w:t>10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套，单位价值</w:t>
      </w:r>
      <w:r>
        <w:rPr>
          <w:rFonts w:ascii="仿宋_GB2312" w:hAnsi="宋体" w:eastAsia="仿宋_GB2312" w:cs="Courier New"/>
          <w:snapToGrid w:val="0"/>
          <w:sz w:val="32"/>
          <w:szCs w:val="32"/>
        </w:rPr>
        <w:t>100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万元以上专用设备</w:t>
      </w:r>
      <w:r>
        <w:rPr>
          <w:rFonts w:hint="eastAsia" w:ascii="仿宋_GB2312" w:eastAsia="仿宋_GB2312"/>
          <w:snapToGrid w:val="0"/>
          <w:sz w:val="32"/>
          <w:szCs w:val="32"/>
        </w:rPr>
        <w:t>6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napToGrid w:val="0"/>
          <w:sz w:val="32"/>
          <w:szCs w:val="32"/>
        </w:rPr>
        <w:t>（五）专项转移支付项目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napToGrid w:val="0"/>
          <w:sz w:val="32"/>
          <w:szCs w:val="32"/>
          <w:shd w:val="clear" w:color="auto" w:fill="FFFFFF"/>
        </w:rPr>
        <w:t>我局无负责管理的专项转移支付项目及资金。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  <w:shd w:val="clear" w:color="auto" w:fill="FFFFFF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napToGrid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 xml:space="preserve">二、其他收入：是指部门取得的除“财政拨款”、“事业收入”、“事业单位经营收入”等以外的收入。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三、基本支出：是指为保障机构正常运转、完成日常工作任务所必需的开支，其内容包括人员经费和日常公用经费两部分。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四、项目支出：是指在基本支出之外，为完成特定的行政工作任务或事业发展目标所发生的支出。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五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napToGrid w:val="0"/>
          <w:sz w:val="32"/>
          <w:szCs w:val="32"/>
        </w:rPr>
      </w:pP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六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驻马店市市场监督管理局2020年度部门预算表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D8C00"/>
    <w:multiLevelType w:val="singleLevel"/>
    <w:tmpl w:val="E2AD8C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8AAA89"/>
    <w:multiLevelType w:val="singleLevel"/>
    <w:tmpl w:val="EB8AA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DFB30BE"/>
    <w:multiLevelType w:val="singleLevel"/>
    <w:tmpl w:val="6DFB30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CB4915"/>
    <w:rsid w:val="00132159"/>
    <w:rsid w:val="00233FE7"/>
    <w:rsid w:val="00426F7E"/>
    <w:rsid w:val="00A90208"/>
    <w:rsid w:val="15F31A1F"/>
    <w:rsid w:val="16694D09"/>
    <w:rsid w:val="197C475A"/>
    <w:rsid w:val="1B0E4707"/>
    <w:rsid w:val="1F5667D6"/>
    <w:rsid w:val="22D6019B"/>
    <w:rsid w:val="24891C5E"/>
    <w:rsid w:val="255E78ED"/>
    <w:rsid w:val="29C43FC3"/>
    <w:rsid w:val="2D912B63"/>
    <w:rsid w:val="3AD659DB"/>
    <w:rsid w:val="40CB4915"/>
    <w:rsid w:val="429608F9"/>
    <w:rsid w:val="4A5F7397"/>
    <w:rsid w:val="503F1452"/>
    <w:rsid w:val="58FB1149"/>
    <w:rsid w:val="647971C5"/>
    <w:rsid w:val="6F2A06BE"/>
    <w:rsid w:val="6F414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60808.Org</Company>
  <Pages>13</Pages>
  <Words>783</Words>
  <Characters>4468</Characters>
  <Lines>37</Lines>
  <Paragraphs>10</Paragraphs>
  <TotalTime>0</TotalTime>
  <ScaleCrop>false</ScaleCrop>
  <LinksUpToDate>false</LinksUpToDate>
  <CharactersWithSpaces>5241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2020-06-08T00:09:00Z</dcterms:created>
  <dc:creator>尚夏</dc:creator>
  <cp:lastModifiedBy>penny</cp:lastModifiedBy>
  <cp:lastPrinted>2020-06-08T02:02:00Z</cp:lastPrinted>
  <dcterms:modified xsi:type="dcterms:W3CDTF">2021-06-10T07:55:54Z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5A7BE9111AE34278927B02C777CC514E</vt:lpwstr>
  </property>
</Properties>
</file>