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00" w:lineRule="exact"/>
        <w:jc w:val="center"/>
        <w:rPr>
          <w:rStyle w:val="7"/>
          <w:rFonts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44"/>
          <w:szCs w:val="44"/>
          <w:shd w:val="clear" w:color="auto" w:fill="FFFFFF"/>
        </w:rPr>
        <w:t>2020年驻马店市委政法委部门预算说明</w:t>
      </w:r>
    </w:p>
    <w:p>
      <w:pPr>
        <w:jc w:val="center"/>
        <w:rPr>
          <w:rFonts w:ascii="新宋体" w:hAnsi="新宋体" w:eastAsia="新宋体"/>
          <w:b/>
          <w:sz w:val="28"/>
          <w:szCs w:val="28"/>
        </w:rPr>
      </w:pPr>
    </w:p>
    <w:p>
      <w:pPr>
        <w:pStyle w:val="4"/>
        <w:widowControl/>
        <w:shd w:val="clear" w:color="auto" w:fill="FFFFFF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Style w:val="7"/>
          <w:rFonts w:hint="eastAsia" w:ascii="宋体" w:hAnsi="宋体" w:cs="宋体"/>
          <w:color w:val="000000"/>
          <w:sz w:val="44"/>
          <w:szCs w:val="44"/>
          <w:shd w:val="clear" w:color="auto" w:fill="FFFFFF"/>
        </w:rPr>
        <w:t>目　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4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　</w:t>
      </w:r>
      <w:r>
        <w:rPr>
          <w:rStyle w:val="7"/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第一部分　驻马店市委政法委概况</w:t>
      </w:r>
      <w:r>
        <w:rPr>
          <w:rStyle w:val="7"/>
          <w:rFonts w:ascii="宋体" w:hAnsi="宋体" w:cs="宋体"/>
          <w:color w:val="000000"/>
          <w:sz w:val="30"/>
          <w:szCs w:val="30"/>
          <w:shd w:val="clear" w:color="auto" w:fill="FFFFFF"/>
        </w:rPr>
        <w:tab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  一、主要职能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   二、部门预算单位构成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4635"/>
          <w:tab w:val="right" w:pos="87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Style w:val="7"/>
          <w:sz w:val="30"/>
          <w:szCs w:val="30"/>
          <w:shd w:val="clear" w:color="auto" w:fill="FFFFFF"/>
        </w:rPr>
      </w:pPr>
      <w:r>
        <w:rPr>
          <w:rStyle w:val="7"/>
          <w:rFonts w:hint="eastAsia"/>
          <w:sz w:val="30"/>
          <w:szCs w:val="30"/>
        </w:rPr>
        <w:t>　</w:t>
      </w:r>
      <w:r>
        <w:rPr>
          <w:rStyle w:val="7"/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第二部分　驻马店市委政法委2020年部门预算情况说明</w:t>
      </w:r>
      <w:r>
        <w:rPr>
          <w:rStyle w:val="7"/>
          <w:rFonts w:ascii="宋体" w:hAnsi="宋体" w:cs="宋体"/>
          <w:color w:val="000000"/>
          <w:sz w:val="30"/>
          <w:szCs w:val="30"/>
          <w:shd w:val="clear" w:color="auto" w:fill="FFFFFF"/>
        </w:rPr>
        <w:tab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tabs>
          <w:tab w:val="left" w:pos="4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Style w:val="7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　　第三部分　名词解释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  　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附件：驻马店市委政法委2020年部门预算表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  一、部门收支总体情况表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  　二、部门收入总体情况表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  　三、部门支出总体情况表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  四、财政拨款收支总体情况表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  五、一般公共预算支出情况表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  六、支出预算经济分类汇总表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  七、一般公共预算“三公”经费支出情况表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280" w:firstLineChars="100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　八、政府性基金支出情况表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280" w:firstLineChars="100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 九、重点项目预算的绩效目标表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840" w:firstLineChars="300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2020年部门（单位）整体绩效目标表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840" w:firstLineChars="300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部门项目绩效目标汇总表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840" w:firstLineChars="300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十二、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一般公共预算基本支出情况表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1988" w:firstLineChars="550"/>
        <w:rPr>
          <w:rStyle w:val="7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3614" w:firstLineChars="1000"/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3614" w:firstLineChars="1000"/>
        <w:rPr>
          <w:rStyle w:val="7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</w:rPr>
        <w:t>第一部分</w:t>
      </w: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2530" w:firstLineChars="700"/>
        <w:rPr>
          <w:rStyle w:val="7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</w:rPr>
        <w:t>驻马店市委政法委概况</w:t>
      </w: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1760" w:firstLineChars="55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一、驻马店市委政法委主要职能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根据党中央的路线、方针、政策和市委的部署，对一定时期内的政法工作作出全局性部署，并督促贯彻落实；组织协调指导维护社会稳定的工作；检查政法部门执行法律法规和党的方针政策的情况，研究制定落实党的方针政策、严肃执法的具体措施；监督政法各部门依法行使职权，指导和协调政法各部门在依法相互制约的同时密切配合，督促、推动大案要案的查处工作，研究、协调有争议的重大疑难案件；组织、协调社会治安综合治理工作，推动各项措施的落实；组织推动政法战线的调查研究工作，总结新经验，解决新问题，探索政法工作改革，通过改革进一步加强政法工作；研究加强政法队伍建设和领导班子建设的措施，协助组织部门考察、管理政法部门的领导干部；开展市法学会相关工作。指导下级政法委员会的工作；办理市委和省委政法委员会交办的其他任务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驻马店市委政法委</w:t>
      </w:r>
      <w:r>
        <w:rPr>
          <w:rFonts w:hint="eastAsia" w:ascii="黑体" w:eastAsia="黑体"/>
          <w:sz w:val="32"/>
          <w:szCs w:val="32"/>
          <w:lang w:val="en-US" w:eastAsia="zh-CN"/>
        </w:rPr>
        <w:t>机构设置及部门</w:t>
      </w:r>
      <w:r>
        <w:rPr>
          <w:rFonts w:hint="eastAsia" w:ascii="黑体" w:eastAsia="黑体"/>
          <w:sz w:val="32"/>
          <w:szCs w:val="32"/>
        </w:rPr>
        <w:t>预算单位构成</w:t>
      </w:r>
    </w:p>
    <w:p>
      <w:pPr>
        <w:numPr>
          <w:ilvl w:val="0"/>
          <w:numId w:val="0"/>
        </w:numPr>
        <w:spacing w:line="360" w:lineRule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驻马店市委政法委内设13个职能科室，分别为：办公室、政治部、研究室、政治安全与反邪教协调科、执法监督科、宣传信息科、维稳指导与社会风险评估科、综治指导科、专项行动科、基层社会治理科、平安创建科、大数据及科技信息科、涉法涉诉信访科。下设驻马店市法学会，为群团组织，性质为事业参公。</w:t>
      </w:r>
    </w:p>
    <w:p>
      <w:pPr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驻马店市委政法委部门预算包括机关本级和所属单位预算。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1、驻马店市委政法委机关本级；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2、驻马店市法学会。</w:t>
      </w: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904" w:firstLineChars="250"/>
        <w:jc w:val="center"/>
        <w:rPr>
          <w:rStyle w:val="7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</w:rPr>
        <w:t>第二部分</w:t>
      </w: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904" w:firstLineChars="250"/>
        <w:jc w:val="center"/>
        <w:rPr>
          <w:rStyle w:val="7"/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</w:rPr>
        <w:t>驻马店市委政法委2020年部门预算情况说明</w:t>
      </w: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ind w:firstLine="904" w:firstLineChars="250"/>
        <w:jc w:val="center"/>
        <w:rPr>
          <w:rStyle w:val="7"/>
          <w:rFonts w:ascii="宋体" w:hAnsi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line="360" w:lineRule="auto"/>
        <w:ind w:firstLine="480" w:firstLineChars="150"/>
        <w:rPr>
          <w:rFonts w:ascii="宋体" w:hAnsi="宋体" w:cs="宋体"/>
          <w:color w:val="000000"/>
        </w:rPr>
      </w:pPr>
      <w:r>
        <w:rPr>
          <w:rFonts w:hint="eastAsia" w:ascii="黑体" w:hAnsi="Times New Roman" w:eastAsia="黑体"/>
          <w:kern w:val="2"/>
          <w:sz w:val="32"/>
          <w:szCs w:val="32"/>
        </w:rPr>
        <w:t>一、收入支出预算总体情况说明</w:t>
      </w:r>
    </w:p>
    <w:p>
      <w:pPr>
        <w:pStyle w:val="4"/>
        <w:widowControl/>
        <w:shd w:val="clear" w:color="auto" w:fill="FFFFFF"/>
        <w:spacing w:line="360" w:lineRule="auto"/>
        <w:ind w:left="550" w:leftChars="250" w:firstLine="280" w:firstLineChars="1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2020年收入总计1569.2万元，支出总计1569.2万元，与2019年相比，收、支总计各减少140.22万元，下降8.2%。主要原因：基本支出减少，压缩项目开支，坚持从严从简。</w:t>
      </w:r>
    </w:p>
    <w:p>
      <w:pPr>
        <w:pStyle w:val="4"/>
        <w:widowControl/>
        <w:shd w:val="clear" w:color="auto" w:fill="FFFFFF"/>
        <w:spacing w:line="360" w:lineRule="auto"/>
        <w:ind w:firstLine="480" w:firstLineChars="150"/>
        <w:rPr>
          <w:rFonts w:ascii="黑体" w:hAnsi="Times New Roman" w:eastAsia="黑体"/>
          <w:kern w:val="2"/>
          <w:sz w:val="32"/>
          <w:szCs w:val="32"/>
        </w:rPr>
      </w:pPr>
      <w:r>
        <w:rPr>
          <w:rFonts w:hint="eastAsia" w:ascii="黑体" w:hAnsi="Times New Roman" w:eastAsia="黑体"/>
          <w:kern w:val="2"/>
          <w:sz w:val="32"/>
          <w:szCs w:val="32"/>
        </w:rPr>
        <w:t>二、收入预算总体情况说明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 2020年收入预算1569.2万元，其中：一般公共预算1569.2万元。</w:t>
      </w:r>
    </w:p>
    <w:p>
      <w:pPr>
        <w:pStyle w:val="4"/>
        <w:widowControl/>
        <w:shd w:val="clear" w:color="auto" w:fill="FFFFFF"/>
        <w:spacing w:line="360" w:lineRule="auto"/>
        <w:ind w:firstLine="480" w:firstLineChars="150"/>
        <w:rPr>
          <w:rFonts w:ascii="黑体" w:hAnsi="Times New Roman" w:eastAsia="黑体"/>
          <w:kern w:val="2"/>
          <w:sz w:val="32"/>
          <w:szCs w:val="32"/>
        </w:rPr>
      </w:pPr>
      <w:r>
        <w:rPr>
          <w:rFonts w:hint="eastAsia" w:ascii="黑体" w:hAnsi="Times New Roman" w:eastAsia="黑体"/>
          <w:kern w:val="2"/>
          <w:sz w:val="32"/>
          <w:szCs w:val="32"/>
        </w:rPr>
        <w:t>三、支出预算总体情况说明</w:t>
      </w:r>
    </w:p>
    <w:p>
      <w:pPr>
        <w:spacing w:line="600" w:lineRule="exact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2020年财政拨款支出预算1569.2万元，其中：基本支出685.08万元，占43.66%；项目支出884.12万元，占56.34%。</w:t>
      </w:r>
    </w:p>
    <w:p>
      <w:pPr>
        <w:pStyle w:val="4"/>
        <w:widowControl/>
        <w:shd w:val="clear" w:color="auto" w:fill="FFFFFF"/>
        <w:spacing w:line="360" w:lineRule="auto"/>
        <w:ind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hAnsi="Times New Roman" w:eastAsia="黑体"/>
          <w:kern w:val="2"/>
          <w:sz w:val="32"/>
          <w:szCs w:val="32"/>
        </w:rPr>
        <w:t>四、财政拨款收入支出预算总体情况说明</w:t>
      </w:r>
    </w:p>
    <w:p>
      <w:pPr>
        <w:pStyle w:val="4"/>
        <w:widowControl/>
        <w:shd w:val="clear" w:color="auto" w:fill="FFFFFF"/>
        <w:spacing w:line="360" w:lineRule="auto"/>
        <w:ind w:firstLine="140" w:firstLineChars="5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2020年一般公共预算收支预算1569.2万元。与2019年相比，减少140.22万元，下降8.2%。主要原因：基本支出减少，压缩项目开支，坚持从严从简。</w:t>
      </w:r>
    </w:p>
    <w:p>
      <w:pPr>
        <w:pStyle w:val="4"/>
        <w:widowControl/>
        <w:shd w:val="clear" w:color="auto" w:fill="FFFFFF"/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　五、一般公共预算支出预算情况说明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 xml:space="preserve">　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2020年一般公共预算支出年初预算为1569.2万元。主要用于以下方面：一般公共服务（类）支出1418.4万元，占90.39%；社会保障和就业（类）支出78.58万元，占5.01%；卫生健康（类）支出37.57万元，占2.39%；住房保障（类）支出34.65万元，占2.21%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42"/>
        <w:textAlignment w:val="auto"/>
        <w:rPr>
          <w:rFonts w:hint="eastAsia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六、一般公共预算基本支出预算情况说明和支出预算经济分类情况说明</w:t>
      </w:r>
      <w:r>
        <w:rPr>
          <w:rFonts w:hint="eastAsia"/>
        </w:rPr>
        <w:t>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 w:bidi="ar-SA"/>
        </w:rPr>
        <w:t>2020年一般公共预算基本支出685.0813万元，其中：人员经费626.2775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58.8038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360" w:lineRule="auto"/>
        <w:ind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　七、政府性基金预算支出决算情况说明</w:t>
      </w:r>
    </w:p>
    <w:p>
      <w:pPr>
        <w:pStyle w:val="4"/>
        <w:widowControl/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 我委2020年没有使用政府性基金预算拨款安排的支出。</w:t>
      </w:r>
    </w:p>
    <w:p>
      <w:pPr>
        <w:spacing w:line="360" w:lineRule="auto"/>
        <w:ind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　八、“三公”经费支出预算情况说明</w:t>
      </w:r>
    </w:p>
    <w:p>
      <w:pPr>
        <w:pStyle w:val="4"/>
        <w:widowControl/>
        <w:shd w:val="clear" w:color="auto" w:fill="FFFFFF"/>
        <w:spacing w:line="360" w:lineRule="auto"/>
        <w:ind w:firstLine="54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2020年“三公”经费预算为26.3万元。2020年“三公”经费支出预算数比2019年增加7.4万元,增加原因：因社会治安综合治理任务加重，扫黑除恶任务加重，维稳工作更加繁重。具体支出情况如下：</w:t>
      </w:r>
    </w:p>
    <w:p>
      <w:pPr>
        <w:spacing w:line="360" w:lineRule="auto"/>
        <w:ind w:firstLine="48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>(一)因公出国(境)费0元，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主要用于单位工作人员公务出国(境)的住宿费、旅费、伙食补助费、杂费、培训费等支出。预算数与2019相比持平。</w:t>
      </w:r>
    </w:p>
    <w:p>
      <w:pPr>
        <w:spacing w:line="360" w:lineRule="auto"/>
        <w:ind w:firstLine="48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>(二)公务用车购置及运行费15.4万元，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其中，公务用车购置费为0万元；公务用车运行维护费15.4万元，主要用于开展工作所需公务用车的燃料费、维修费、过路过桥费、保险费等支出。公务用车购置费预算数与 2019年相比没有变化，2020年公务用车运行维护费预算数比2019年增加3万元，增加原因：因社会治安综合治理任务加重，扫黑除恶任务加重，维稳工作更加繁重。</w:t>
      </w:r>
    </w:p>
    <w:p>
      <w:pPr>
        <w:spacing w:line="360" w:lineRule="auto"/>
        <w:ind w:firstLine="48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>(三)公务接待费10.9万元，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主要用于按规定开支的各类公务接待(含外宾接待)支出。预算数比2019年增加4.4万元，增加原因：因社会治安综合治理任务加重，扫黑除恶任务加重，维稳工作更加繁重。</w:t>
      </w:r>
    </w:p>
    <w:p>
      <w:pPr>
        <w:spacing w:line="360" w:lineRule="auto"/>
        <w:ind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　九、其他重要事项的情况说明</w:t>
      </w:r>
    </w:p>
    <w:p>
      <w:pPr>
        <w:spacing w:line="360" w:lineRule="auto"/>
        <w:ind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(一)机关运行经费支出情况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2020年机关运行经费支出预算58.8万元，主要保障机构正常运转及正常履职需要。</w:t>
      </w:r>
    </w:p>
    <w:p>
      <w:pPr>
        <w:spacing w:line="360" w:lineRule="auto"/>
        <w:ind w:firstLine="480" w:firstLineChars="1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(二)政府采购支出情况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2020年政府采购预算安排734.8万元，其中：货物类政府采购预算203.5万元，服务类政府采购预算521.3万元，工程类政府采购预算10万元。</w:t>
      </w:r>
    </w:p>
    <w:p>
      <w:pPr>
        <w:spacing w:line="360" w:lineRule="auto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（三）绩效目标设置情况</w:t>
      </w:r>
    </w:p>
    <w:p>
      <w:pPr>
        <w:spacing w:line="360" w:lineRule="auto"/>
        <w:ind w:firstLine="482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我委2020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line="360" w:lineRule="auto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(四)国有资产占用情况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2019年期末，我委共有车辆3辆，全部为一般公务用车。</w:t>
      </w:r>
    </w:p>
    <w:p>
      <w:pPr>
        <w:spacing w:line="360" w:lineRule="auto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(五)专项转移支付项目情况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我委无负责管理的专项转移支付项目及资金。</w:t>
      </w:r>
    </w:p>
    <w:p>
      <w:pPr>
        <w:pStyle w:val="4"/>
        <w:widowControl/>
        <w:shd w:val="clear" w:color="auto" w:fill="FFFFFF"/>
        <w:tabs>
          <w:tab w:val="left" w:pos="4635"/>
        </w:tabs>
        <w:spacing w:line="360" w:lineRule="auto"/>
        <w:jc w:val="center"/>
        <w:rPr>
          <w:rStyle w:val="7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000000"/>
          <w:shd w:val="clear" w:color="auto" w:fill="FFFFFF"/>
        </w:rPr>
        <w:t>　</w:t>
      </w:r>
      <w:r>
        <w:rPr>
          <w:rStyle w:val="7"/>
          <w:rFonts w:hint="eastAsia" w:ascii="宋体" w:hAnsi="宋体" w:cs="宋体"/>
          <w:color w:val="000000"/>
          <w:sz w:val="36"/>
          <w:szCs w:val="36"/>
          <w:shd w:val="clear" w:color="auto" w:fill="FFFFFF"/>
        </w:rPr>
        <w:t>　第三部分　　名词解释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一、财政拨款收入：是指市级财政当年拨付的资金。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二、事业收入：是指事业单位开展专业活动及辅助活动所取得的收入。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三、其他收入：是指部门取得的除“财政拨款”、“事业收入”、“事业单位经营收入”等以外的收入。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六、项目支出：是指在基本支出之外，为完成特定的行政工作任务或事业发展目标所发生的支出。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七、“三公”经费：是指纳入市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spacing w:line="360" w:lineRule="auto"/>
        <w:ind w:firstLine="420" w:firstLineChars="15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4"/>
        <w:widowControl/>
        <w:shd w:val="clear" w:color="auto" w:fill="FFFFFF"/>
        <w:spacing w:line="360" w:lineRule="auto"/>
        <w:rPr>
          <w:rFonts w:ascii="仿宋_GB2312" w:hAnsi="Times New Roman" w:eastAsia="仿宋_GB2312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b/>
          <w:kern w:val="2"/>
          <w:sz w:val="32"/>
          <w:szCs w:val="32"/>
        </w:rPr>
        <w:t>附件：</w:t>
      </w:r>
    </w:p>
    <w:p>
      <w:pPr>
        <w:pStyle w:val="4"/>
        <w:widowControl/>
        <w:shd w:val="clear" w:color="auto" w:fill="FFFFFF"/>
        <w:spacing w:line="360" w:lineRule="auto"/>
        <w:ind w:firstLine="1760" w:firstLineChars="55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驻马店市委政法委</w:t>
      </w:r>
      <w:r>
        <w:rPr>
          <w:rFonts w:ascii="黑体" w:hAnsi="黑体" w:eastAsia="黑体"/>
          <w:kern w:val="2"/>
          <w:sz w:val="32"/>
          <w:szCs w:val="32"/>
        </w:rPr>
        <w:t>20</w:t>
      </w:r>
      <w:r>
        <w:rPr>
          <w:rFonts w:hint="eastAsia" w:ascii="黑体" w:hAnsi="黑体" w:eastAsia="黑体"/>
          <w:kern w:val="2"/>
          <w:sz w:val="32"/>
          <w:szCs w:val="32"/>
        </w:rPr>
        <w:t>20年部门预算表</w:t>
      </w:r>
    </w:p>
    <w:p>
      <w:pPr>
        <w:pStyle w:val="4"/>
        <w:widowControl/>
        <w:shd w:val="clear" w:color="auto" w:fill="FFFFFF"/>
        <w:spacing w:line="360" w:lineRule="auto"/>
        <w:rPr>
          <w:rFonts w:ascii="仿宋_GB2312" w:hAnsi="Times New Roman" w:eastAsia="仿宋_GB2312"/>
          <w:kern w:val="2"/>
          <w:sz w:val="32"/>
          <w:szCs w:val="32"/>
        </w:rPr>
      </w:pPr>
    </w:p>
    <w:p>
      <w:pPr>
        <w:spacing w:line="220" w:lineRule="atLeast"/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32"/>
        <w:szCs w:val="32"/>
      </w:rPr>
    </w:pPr>
    <w:r>
      <w:rPr>
        <w:rStyle w:val="8"/>
        <w:sz w:val="32"/>
        <w:szCs w:val="32"/>
      </w:rPr>
      <w:fldChar w:fldCharType="begin"/>
    </w:r>
    <w:r>
      <w:rPr>
        <w:rStyle w:val="8"/>
        <w:sz w:val="32"/>
        <w:szCs w:val="32"/>
      </w:rPr>
      <w:instrText xml:space="preserve">PAGE  </w:instrText>
    </w:r>
    <w:r>
      <w:rPr>
        <w:rStyle w:val="8"/>
        <w:sz w:val="32"/>
        <w:szCs w:val="32"/>
      </w:rPr>
      <w:fldChar w:fldCharType="separate"/>
    </w:r>
    <w:r>
      <w:rPr>
        <w:rStyle w:val="8"/>
        <w:sz w:val="32"/>
        <w:szCs w:val="32"/>
      </w:rPr>
      <w:t>- 5 -</w:t>
    </w:r>
    <w:r>
      <w:rPr>
        <w:rStyle w:val="8"/>
        <w:sz w:val="32"/>
        <w:szCs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10CA4F"/>
    <w:multiLevelType w:val="singleLevel"/>
    <w:tmpl w:val="AC10CA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7FB3AC"/>
    <w:multiLevelType w:val="singleLevel"/>
    <w:tmpl w:val="DC7FB3A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815"/>
    <w:rsid w:val="0003206A"/>
    <w:rsid w:val="000868A6"/>
    <w:rsid w:val="000B7868"/>
    <w:rsid w:val="000D699C"/>
    <w:rsid w:val="000F1AC9"/>
    <w:rsid w:val="000F3DD8"/>
    <w:rsid w:val="00107FB8"/>
    <w:rsid w:val="0011295E"/>
    <w:rsid w:val="00125012"/>
    <w:rsid w:val="001B40BF"/>
    <w:rsid w:val="001C5B07"/>
    <w:rsid w:val="001E2A9B"/>
    <w:rsid w:val="001F5296"/>
    <w:rsid w:val="001F75D8"/>
    <w:rsid w:val="00210550"/>
    <w:rsid w:val="0025483B"/>
    <w:rsid w:val="002576C1"/>
    <w:rsid w:val="002B0F83"/>
    <w:rsid w:val="002D7177"/>
    <w:rsid w:val="002E160B"/>
    <w:rsid w:val="003071C5"/>
    <w:rsid w:val="00315826"/>
    <w:rsid w:val="00323B43"/>
    <w:rsid w:val="003357FC"/>
    <w:rsid w:val="0036610A"/>
    <w:rsid w:val="00386DC2"/>
    <w:rsid w:val="003B12DA"/>
    <w:rsid w:val="003B484D"/>
    <w:rsid w:val="003D37D8"/>
    <w:rsid w:val="003E2933"/>
    <w:rsid w:val="003F6B55"/>
    <w:rsid w:val="00406A42"/>
    <w:rsid w:val="00411BE3"/>
    <w:rsid w:val="00426133"/>
    <w:rsid w:val="004358AB"/>
    <w:rsid w:val="00457E59"/>
    <w:rsid w:val="00471851"/>
    <w:rsid w:val="0048386B"/>
    <w:rsid w:val="004A1699"/>
    <w:rsid w:val="004B12D9"/>
    <w:rsid w:val="004D0ECA"/>
    <w:rsid w:val="0051595A"/>
    <w:rsid w:val="005631A3"/>
    <w:rsid w:val="00577FCA"/>
    <w:rsid w:val="005B3796"/>
    <w:rsid w:val="005B43AB"/>
    <w:rsid w:val="005D13F5"/>
    <w:rsid w:val="005E50DA"/>
    <w:rsid w:val="00620540"/>
    <w:rsid w:val="006865BC"/>
    <w:rsid w:val="006E3E6F"/>
    <w:rsid w:val="00714DD7"/>
    <w:rsid w:val="00726E63"/>
    <w:rsid w:val="007774C5"/>
    <w:rsid w:val="007E746C"/>
    <w:rsid w:val="00801E6B"/>
    <w:rsid w:val="00807DF6"/>
    <w:rsid w:val="00820428"/>
    <w:rsid w:val="008725AA"/>
    <w:rsid w:val="008823E5"/>
    <w:rsid w:val="008971A5"/>
    <w:rsid w:val="008B0F48"/>
    <w:rsid w:val="008B7726"/>
    <w:rsid w:val="008E25BB"/>
    <w:rsid w:val="008F4D55"/>
    <w:rsid w:val="00927B9F"/>
    <w:rsid w:val="00992E4A"/>
    <w:rsid w:val="009A356C"/>
    <w:rsid w:val="009F23FB"/>
    <w:rsid w:val="00A107D5"/>
    <w:rsid w:val="00A211F9"/>
    <w:rsid w:val="00A84C30"/>
    <w:rsid w:val="00AB2010"/>
    <w:rsid w:val="00AC3373"/>
    <w:rsid w:val="00AD133A"/>
    <w:rsid w:val="00B336F8"/>
    <w:rsid w:val="00B5212D"/>
    <w:rsid w:val="00B763B9"/>
    <w:rsid w:val="00BB53A8"/>
    <w:rsid w:val="00BB5DAD"/>
    <w:rsid w:val="00C23584"/>
    <w:rsid w:val="00C667FC"/>
    <w:rsid w:val="00C858D9"/>
    <w:rsid w:val="00C91A89"/>
    <w:rsid w:val="00C9301B"/>
    <w:rsid w:val="00CA36A1"/>
    <w:rsid w:val="00CD1E06"/>
    <w:rsid w:val="00CE3916"/>
    <w:rsid w:val="00CE3D02"/>
    <w:rsid w:val="00CE506B"/>
    <w:rsid w:val="00CE7AEA"/>
    <w:rsid w:val="00D31D50"/>
    <w:rsid w:val="00D55312"/>
    <w:rsid w:val="00D97880"/>
    <w:rsid w:val="00DC30F0"/>
    <w:rsid w:val="00DF2919"/>
    <w:rsid w:val="00DF4238"/>
    <w:rsid w:val="00E12EDA"/>
    <w:rsid w:val="00E624D2"/>
    <w:rsid w:val="00E922A3"/>
    <w:rsid w:val="00EB5F71"/>
    <w:rsid w:val="00EC237B"/>
    <w:rsid w:val="00ED0502"/>
    <w:rsid w:val="00F43F43"/>
    <w:rsid w:val="00F8420D"/>
    <w:rsid w:val="00FE57B6"/>
    <w:rsid w:val="2A3A28B2"/>
    <w:rsid w:val="2C351EBE"/>
    <w:rsid w:val="2F3609C7"/>
    <w:rsid w:val="2F5C5496"/>
    <w:rsid w:val="42C91E8F"/>
    <w:rsid w:val="5B492399"/>
    <w:rsid w:val="661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B07AA-AD92-4B11-A1EC-CBAADCBEA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2575</Characters>
  <Lines>21</Lines>
  <Paragraphs>6</Paragraphs>
  <TotalTime>0</TotalTime>
  <ScaleCrop>false</ScaleCrop>
  <LinksUpToDate>false</LinksUpToDate>
  <CharactersWithSpaces>3020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penny</cp:lastModifiedBy>
  <cp:lastPrinted>2020-06-08T09:42:00Z</cp:lastPrinted>
  <dcterms:modified xsi:type="dcterms:W3CDTF">2021-06-10T09:09:31Z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E3ACBB6C12794E688821310517225601</vt:lpwstr>
  </property>
</Properties>
</file>