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20年驻马店市财政局部门预算说明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驻马店市财政局概况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驻马店市财政局</w:t>
      </w:r>
      <w:r>
        <w:rPr>
          <w:rFonts w:ascii="黑体" w:hAnsi="黑体" w:eastAsia="黑体" w:cs="黑体"/>
          <w:kern w:val="0"/>
          <w:sz w:val="32"/>
          <w:szCs w:val="32"/>
        </w:rPr>
        <w:t>20</w:t>
      </w:r>
      <w:r>
        <w:rPr>
          <w:rFonts w:hint="eastAsia" w:ascii="黑体" w:hAnsi="黑体" w:eastAsia="黑体" w:cs="黑体"/>
          <w:kern w:val="0"/>
          <w:sz w:val="32"/>
          <w:szCs w:val="32"/>
        </w:rPr>
        <w:t>20年度部门预算情况说明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七、政府性基金预算支出决算情况说明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附件：驻马店市财政局</w:t>
      </w:r>
      <w:r>
        <w:rPr>
          <w:rFonts w:ascii="黑体" w:hAnsi="黑体" w:eastAsia="黑体" w:cs="黑体"/>
          <w:kern w:val="0"/>
          <w:sz w:val="32"/>
          <w:szCs w:val="32"/>
        </w:rPr>
        <w:t>20</w:t>
      </w:r>
      <w:r>
        <w:rPr>
          <w:rFonts w:hint="eastAsia" w:ascii="黑体" w:hAnsi="黑体" w:eastAsia="黑体" w:cs="黑体"/>
          <w:kern w:val="0"/>
          <w:sz w:val="32"/>
          <w:szCs w:val="32"/>
        </w:rPr>
        <w:t>20年度部门预算表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九、重点项目预算的绩效目标表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十、部门（单位）整体绩效目标表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十一、部门项目绩效目标汇总表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eastAsia="zh-CN"/>
        </w:rPr>
        <w:t>十二、</w:t>
      </w:r>
      <w:r>
        <w:rPr>
          <w:rFonts w:hint="eastAsia" w:ascii="仿宋" w:hAnsi="仿宋" w:eastAsia="仿宋" w:cs="仿宋_GB2312"/>
          <w:kern w:val="0"/>
          <w:sz w:val="32"/>
          <w:szCs w:val="32"/>
        </w:rPr>
        <w:t>一般公共预算基本支出情况表</w:t>
      </w:r>
      <w:bookmarkStart w:id="0" w:name="_GoBack"/>
      <w:bookmarkEnd w:id="0"/>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驻马店市财政局概况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一、驻马店市财政局主要职能</w:t>
      </w:r>
    </w:p>
    <w:p>
      <w:pPr>
        <w:spacing w:line="600" w:lineRule="exact"/>
        <w:ind w:firstLine="630"/>
        <w:rPr>
          <w:rFonts w:ascii="仿宋" w:hAnsi="仿宋" w:eastAsia="仿宋" w:cs="Times New Roman"/>
          <w:color w:val="000000"/>
          <w:sz w:val="32"/>
          <w:szCs w:val="32"/>
        </w:rPr>
      </w:pPr>
      <w:r>
        <w:rPr>
          <w:rFonts w:hint="eastAsia" w:ascii="仿宋" w:hAnsi="仿宋" w:eastAsia="仿宋" w:cs="仿宋_GB2312"/>
          <w:sz w:val="32"/>
          <w:szCs w:val="32"/>
        </w:rPr>
        <w:t>根据《中共驻马店市委驻马店市人民政府关于市政府职能转变和机构改革的实施意见》（驻发〔</w:t>
      </w:r>
      <w:r>
        <w:rPr>
          <w:rFonts w:ascii="仿宋" w:hAnsi="仿宋" w:eastAsia="仿宋" w:cs="仿宋_GB2312"/>
          <w:sz w:val="32"/>
          <w:szCs w:val="32"/>
        </w:rPr>
        <w:t>2014</w:t>
      </w:r>
      <w:r>
        <w:rPr>
          <w:rFonts w:hint="eastAsia" w:ascii="仿宋" w:hAnsi="仿宋" w:eastAsia="仿宋" w:cs="仿宋_GB2312"/>
          <w:sz w:val="32"/>
          <w:szCs w:val="32"/>
        </w:rPr>
        <w:t>〕</w:t>
      </w:r>
      <w:r>
        <w:rPr>
          <w:rFonts w:ascii="仿宋" w:hAnsi="仿宋" w:eastAsia="仿宋" w:cs="仿宋_GB2312"/>
          <w:sz w:val="32"/>
          <w:szCs w:val="32"/>
        </w:rPr>
        <w:t>19</w:t>
      </w:r>
      <w:r>
        <w:rPr>
          <w:rFonts w:hint="eastAsia" w:ascii="仿宋" w:hAnsi="仿宋" w:eastAsia="仿宋" w:cs="仿宋_GB2312"/>
          <w:sz w:val="32"/>
          <w:szCs w:val="32"/>
        </w:rPr>
        <w:t>号）文件规定，驻马店市财政局为市政府组成部门，贯彻落实党中央关于财经工作的方针政策和决策部署，在履行职责过程中坚持和加强党对财政工作的集中</w:t>
      </w:r>
      <w:r>
        <w:rPr>
          <w:rFonts w:hint="eastAsia" w:ascii="仿宋" w:hAnsi="仿宋" w:eastAsia="仿宋"/>
          <w:sz w:val="32"/>
          <w:szCs w:val="32"/>
        </w:rPr>
        <w:t>统一领导。</w:t>
      </w:r>
      <w:r>
        <w:rPr>
          <w:rFonts w:hint="eastAsia" w:ascii="仿宋" w:hAnsi="仿宋" w:eastAsia="仿宋" w:cs="仿宋_GB2312"/>
          <w:color w:val="000000"/>
          <w:sz w:val="32"/>
          <w:szCs w:val="32"/>
        </w:rPr>
        <w:t>主要职责是：</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（一）拟订全市财税发展战略、规划、政策和改革方案并组织实施。研究提出建立完善现代财政制度，运用财政政策促进经济、政治、文化、社会、生态建设的政策措施。</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（二）拟订全市财政、财务、会计管理的规范性文件，组织涉外财政、债务等国际谈判并草签有关协议。在政府统一领导下，牵头建立政府购买服务工作机制，会同有关部门研究提出相关政策。</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三）负责全市财政收支管理工作，承担市级财政收支管理的责任。负责编制年度市级财政预算草案并组织执行，受市政府委托向市人民代表大会报告全市和市级财政预算及其执行情况；负责编制全市年度财政决算草案并向市人大常委会报告。组织制定经费开支标准、定额，负责审核批复部门</w:t>
      </w:r>
      <w:r>
        <w:rPr>
          <w:rFonts w:ascii="仿宋" w:hAnsi="仿宋" w:eastAsia="仿宋" w:cs="仿宋_GB2312"/>
          <w:sz w:val="32"/>
          <w:szCs w:val="32"/>
        </w:rPr>
        <w:t>(</w:t>
      </w:r>
      <w:r>
        <w:rPr>
          <w:rFonts w:hint="eastAsia" w:ascii="仿宋" w:hAnsi="仿宋" w:eastAsia="仿宋" w:cs="仿宋_GB2312"/>
          <w:sz w:val="32"/>
          <w:szCs w:val="32"/>
        </w:rPr>
        <w:t>单位</w:t>
      </w:r>
      <w:r>
        <w:rPr>
          <w:rFonts w:ascii="仿宋" w:hAnsi="仿宋" w:eastAsia="仿宋" w:cs="仿宋_GB2312"/>
          <w:sz w:val="32"/>
          <w:szCs w:val="32"/>
        </w:rPr>
        <w:t>)</w:t>
      </w:r>
      <w:r>
        <w:rPr>
          <w:rFonts w:hint="eastAsia" w:ascii="仿宋" w:hAnsi="仿宋" w:eastAsia="仿宋" w:cs="仿宋_GB2312"/>
          <w:sz w:val="32"/>
          <w:szCs w:val="32"/>
        </w:rPr>
        <w:t>的年度预决算。建立全面规范、公开透明的预算制度。建立跨年度预算平衡机制。全面推进预算绩效管理工作。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（四）研究提出完善市、县级政府之间事权、支出责任、财政收入划分方案的建议，完善转移支付制度。</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五）负责政府非税收入和政府性基金管理；编制年度市级政府性基金预算草案，汇总年度全市政府性基金预算；管理财政票据；制定彩票管理政策，管理彩票市场，按规定管理彩票资金。研究制定政府非税收入管理制度。</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六）组织制定全市财政国库管理制度、国库集中收付制度，指导和监督市级国库业务，按规定开展国库现金管理工作。负责建立权责发生制的政府综合财务报告制度。负责制定政府采购制度，编制市级政府采购预算并监督管理。</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（七）负责管理和监督市级行政、政法、教育、科学、文化、体育等支出，研究提出相关财政政策建议。拟订行政事业单位财务管理制度和公务支出标准。承担市级国有文化企业资产及财务管理有关工作。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（八）负责管理和监督市级农业、林业、水利、扶贫等支出，研究提出相关财政政策建议；负责全市农业综合开发资金管理等工作。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（九）制定促进全市经济发展的财政政策，负责监督管理市级财政经济发展支出；制定全市基本建设财务制度；负责市级城建资金的筹集、使用和管理；承担财政投资评审管理工作。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（十）负责管理和监督市级财政社会保障、就业及医疗卫生支出，会同有关部门拟订社会保障资金（基金）的财务管理制度，编制市级社会保障预决算草案。</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一）负责管理和监督市级财政服务业发展、商业流通、旅游、粮食等支出，研究提出相关财政政策建议。拟订商业流通、旅游、粮食、物资、供销企业的财务管理制度；承担有关政策性补贴和专项储备资金财政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二）组织起草全市地方性税收立法规划，与市地方税务部门共同上报税收地方性法规、规章草案；在国家规定的权限内，提出地方性税目税率调整和对全市财政影响较大的临时特案减免税的建议；牵头建立个人收入和财产信息系统。在国家税制改革统一框架下，提出加强地方税体系建设相关建议。</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三）负责制定行政事业单位国有资产管理制度，并对执行情况进行监督检查。管理行政事业单位国有资产，制定资产配置标准和相关费用标准，编制市级行政事业单位国有资产购置预算；负责市级事业单位对外投资的审批和监督管理；负责全市财政预算内行政、事业单位和社会团体的非贸易外汇管理。</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四）负责制定国有资本经营预算制度，编制市级国有资本经营预算，审核和汇总编制全市国有资本经营预决算草案，收取市本级企业国有资本收益，组织实施全市企业财务制度，参与拟订企业国有资产管理相关制度，按规定管理资产评估工作；监督管理公物拍卖。</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五）承担地方金融类企业国有资产管理的有关工作，拟订地方金融类企业财务管理制度，按规定管理政策性金融业务。拟订地方政策性保险有关政策。代表政府履行出资人对地方金融类企业资产、财务的监管职责。</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（十六）执行国家政府性债务管理的政策和制度，拟订地方性有关政策、制度，建立规范合理的政府性债务管理及相关风险预警机制。</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（十七）负责管理全市会计工作，监督和规范会计行为，组织实施国家统一的会计制度，负责审批设立会计师事务所，指导和监督注册会计师、会计师事务所的业务，指导和管理社会审计工作。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（十八）监督检查财税法规、政策的执行情况，依法查处违法违规行为；反映财政收支管理中的重大问题，提出加强财政管理的政策建议。</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（十九）承办市政府交办的其他事项。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二、驻马店市财政局机构设置及预算单位构成</w:t>
      </w:r>
    </w:p>
    <w:p>
      <w:pPr>
        <w:spacing w:line="55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驻马店市财政局内设28个职能科室，分别是</w:t>
      </w:r>
      <w:r>
        <w:rPr>
          <w:rFonts w:hint="eastAsia" w:ascii="仿宋" w:hAnsi="仿宋" w:eastAsia="仿宋"/>
          <w:sz w:val="32"/>
          <w:szCs w:val="32"/>
        </w:rPr>
        <w:t>办公室、人事教育科、综合科、预算科、国库科、行政政法科、教科文科、经济建设科、农业农村一科、农业农村二科、社会保障科、政府采购管理科（驻马店市人民政府政府采购管理办公室）、税政条法科（综合治税办公室）、企业科、金融贸易科、城市建设科、基层财政管理科、</w:t>
      </w:r>
      <w:r>
        <w:rPr>
          <w:rFonts w:hint="eastAsia" w:ascii="仿宋" w:hAnsi="仿宋" w:eastAsia="仿宋" w:cs="仿宋_GB2312"/>
          <w:sz w:val="32"/>
          <w:szCs w:val="32"/>
        </w:rPr>
        <w:t>政府债务管理科（政府债务管理办公室）、</w:t>
      </w:r>
      <w:r>
        <w:rPr>
          <w:rFonts w:hint="eastAsia" w:ascii="仿宋" w:hAnsi="仿宋" w:eastAsia="仿宋"/>
          <w:sz w:val="32"/>
          <w:szCs w:val="32"/>
        </w:rPr>
        <w:t>预算绩效管理科、对外经济合作科、会计科、资产管理科、财政监督检查办公室、市属功能类公益类企业国有资产监管办公室、企业改革和考核评价科、</w:t>
      </w:r>
      <w:r>
        <w:rPr>
          <w:rFonts w:hint="eastAsia" w:ascii="仿宋" w:hAnsi="仿宋" w:eastAsia="仿宋" w:cs="仿宋_GB2312"/>
          <w:sz w:val="32"/>
          <w:szCs w:val="32"/>
        </w:rPr>
        <w:t>资本运营和产权管理科、企业监管科（信访工作科）、老干部科。</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驻马店市财政局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.驻马店市财政局机关本级（含原</w:t>
      </w:r>
      <w:r>
        <w:rPr>
          <w:rFonts w:hint="eastAsia" w:ascii="仿宋" w:hAnsi="仿宋" w:eastAsia="仿宋" w:cs="仿宋_GB2312"/>
          <w:color w:val="000000"/>
          <w:kern w:val="0"/>
          <w:sz w:val="32"/>
          <w:szCs w:val="32"/>
        </w:rPr>
        <w:t>驻马店市国有资产监督管理委员会</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.驻马店市财政支付中心(含原驻马店市非税收入管理局)；</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3.驻马店市农业综合开发资金管理中心；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4.驻马店市行政事业单位国有资产管理中心；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5.驻马店市注册会计师协会秘书处；</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6.驻马店市财政政策研究室；</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7.驻马店市财政局干部教育中心；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8.驻马店市税源建设服务中心；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9.驻马店市财政信息中心；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10.驻马店市财政局机关后勤服务中心；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1.驻马店市财政预算绩效服务中心；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2.驻马店市道路交通事故社会救助基金服务中心。</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驻马店市财政局</w:t>
      </w:r>
      <w:r>
        <w:rPr>
          <w:rFonts w:ascii="黑体" w:hAnsi="黑体" w:eastAsia="黑体" w:cs="黑体"/>
          <w:kern w:val="0"/>
          <w:sz w:val="36"/>
          <w:szCs w:val="36"/>
        </w:rPr>
        <w:t>20</w:t>
      </w:r>
      <w:r>
        <w:rPr>
          <w:rFonts w:hint="eastAsia" w:ascii="黑体" w:hAnsi="黑体" w:eastAsia="黑体" w:cs="黑体"/>
          <w:kern w:val="0"/>
          <w:sz w:val="36"/>
          <w:szCs w:val="36"/>
        </w:rPr>
        <w:t>20年度部门预算情况说明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驻马店市财政局</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年收入总计5484.64万元，支出总计5484.64万元，与</w:t>
      </w:r>
      <w:r>
        <w:rPr>
          <w:rFonts w:ascii="仿宋" w:hAnsi="仿宋" w:eastAsia="仿宋" w:cs="仿宋_GB2312"/>
          <w:color w:val="000000"/>
          <w:sz w:val="32"/>
          <w:szCs w:val="32"/>
        </w:rPr>
        <w:t>2019</w:t>
      </w:r>
      <w:r>
        <w:rPr>
          <w:rFonts w:hint="eastAsia" w:ascii="仿宋" w:hAnsi="仿宋" w:eastAsia="仿宋" w:cs="仿宋_GB2312"/>
          <w:color w:val="000000"/>
          <w:sz w:val="32"/>
          <w:szCs w:val="32"/>
        </w:rPr>
        <w:t>年预算相比，收、支总计各减少1096.44万元，下降16.66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color w:val="000000"/>
          <w:sz w:val="32"/>
          <w:szCs w:val="32"/>
        </w:rPr>
        <w:t>项目支出预算有较大降幅</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驻马店市财政局</w:t>
      </w:r>
      <w:r>
        <w:rPr>
          <w:rFonts w:eastAsia="仿宋"/>
          <w:sz w:val="32"/>
          <w:szCs w:val="32"/>
        </w:rPr>
        <w:t>  </w:t>
      </w:r>
      <w:r>
        <w:rPr>
          <w:rFonts w:ascii="仿宋" w:hAnsi="仿宋" w:eastAsia="仿宋"/>
          <w:sz w:val="32"/>
          <w:szCs w:val="32"/>
        </w:rPr>
        <w:t>2020</w:t>
      </w:r>
      <w:r>
        <w:rPr>
          <w:rFonts w:hint="eastAsia" w:ascii="仿宋" w:hAnsi="仿宋" w:eastAsia="仿宋"/>
          <w:sz w:val="32"/>
          <w:szCs w:val="32"/>
        </w:rPr>
        <w:t>年收入合计5484.64万元。其中：一般公共预算收入5484.64万元。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rPr>
          <w:rFonts w:ascii="仿宋" w:hAnsi="仿宋" w:eastAsia="仿宋"/>
          <w:sz w:val="32"/>
          <w:szCs w:val="32"/>
        </w:rPr>
      </w:pPr>
      <w:r>
        <w:rPr>
          <w:rFonts w:hint="eastAsia" w:ascii="仿宋" w:hAnsi="仿宋" w:eastAsia="仿宋"/>
          <w:sz w:val="32"/>
          <w:szCs w:val="32"/>
        </w:rPr>
        <w:t>驻马店市财政局</w:t>
      </w:r>
      <w:r>
        <w:rPr>
          <w:rFonts w:ascii="仿宋" w:hAnsi="仿宋" w:eastAsia="仿宋"/>
          <w:sz w:val="32"/>
          <w:szCs w:val="32"/>
        </w:rPr>
        <w:t>2020</w:t>
      </w:r>
      <w:r>
        <w:rPr>
          <w:rFonts w:hint="eastAsia" w:ascii="仿宋" w:hAnsi="仿宋" w:eastAsia="仿宋"/>
          <w:sz w:val="32"/>
          <w:szCs w:val="32"/>
        </w:rPr>
        <w:t>年支出合计5484.64万元，其中：基本支出4241.19万元，占77.33</w:t>
      </w:r>
      <w:r>
        <w:rPr>
          <w:rFonts w:ascii="仿宋" w:hAnsi="仿宋" w:eastAsia="仿宋"/>
          <w:sz w:val="32"/>
          <w:szCs w:val="32"/>
        </w:rPr>
        <w:t>%</w:t>
      </w:r>
      <w:r>
        <w:rPr>
          <w:rFonts w:hint="eastAsia" w:ascii="仿宋" w:hAnsi="仿宋" w:eastAsia="仿宋"/>
          <w:sz w:val="32"/>
          <w:szCs w:val="32"/>
        </w:rPr>
        <w:t>；项目支出1243.46万元，占22.67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驻马店市财政局</w:t>
      </w:r>
      <w:r>
        <w:rPr>
          <w:rFonts w:ascii="仿宋" w:hAnsi="仿宋" w:eastAsia="仿宋" w:cs="仿宋_GB2312"/>
          <w:sz w:val="32"/>
          <w:szCs w:val="32"/>
        </w:rPr>
        <w:t>2020</w:t>
      </w:r>
      <w:r>
        <w:rPr>
          <w:rFonts w:hint="eastAsia" w:ascii="仿宋" w:hAnsi="仿宋" w:eastAsia="仿宋" w:cs="仿宋_GB2312"/>
          <w:color w:val="000000"/>
          <w:sz w:val="32"/>
          <w:szCs w:val="32"/>
        </w:rPr>
        <w:t>年一般公共预算收支预算5484.64万元。</w:t>
      </w:r>
      <w:r>
        <w:rPr>
          <w:rFonts w:hint="eastAsia" w:ascii="仿宋" w:hAnsi="仿宋" w:eastAsia="仿宋"/>
          <w:sz w:val="32"/>
          <w:szCs w:val="32"/>
        </w:rPr>
        <w:t>与</w:t>
      </w:r>
      <w:r>
        <w:rPr>
          <w:rFonts w:ascii="仿宋" w:hAnsi="仿宋" w:eastAsia="仿宋"/>
          <w:sz w:val="32"/>
          <w:szCs w:val="32"/>
        </w:rPr>
        <w:t>2019</w:t>
      </w:r>
      <w:r>
        <w:rPr>
          <w:rFonts w:hint="eastAsia" w:ascii="仿宋" w:hAnsi="仿宋" w:eastAsia="仿宋"/>
          <w:sz w:val="32"/>
          <w:szCs w:val="32"/>
        </w:rPr>
        <w:t>年相比，一般公共预算收支预算减少1036.44万元，下降15.89</w:t>
      </w:r>
      <w:r>
        <w:rPr>
          <w:rFonts w:ascii="仿宋" w:hAnsi="仿宋" w:eastAsia="仿宋"/>
          <w:sz w:val="32"/>
          <w:szCs w:val="32"/>
        </w:rPr>
        <w:t>%</w:t>
      </w:r>
      <w:r>
        <w:rPr>
          <w:rFonts w:hint="eastAsia" w:ascii="仿宋" w:hAnsi="仿宋" w:eastAsia="仿宋"/>
          <w:sz w:val="32"/>
          <w:szCs w:val="32"/>
        </w:rPr>
        <w:t>。主要原因是项目支出预算有较大降幅。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驻马店市财政局</w:t>
      </w:r>
      <w:r>
        <w:rPr>
          <w:rFonts w:ascii="仿宋" w:hAnsi="仿宋" w:eastAsia="仿宋" w:cs="仿宋_GB2312"/>
          <w:color w:val="333333"/>
          <w:sz w:val="32"/>
          <w:szCs w:val="32"/>
        </w:rPr>
        <w:t>2020</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rPr>
        <w:t>5484.64万元。主要用于以下方面：一般公共服务（类）支出4410.98万元，占80.42</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；社会保障和就业支出667.21万元，占12.17</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；卫生健康支出224.43万元，占4.09</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；住房保障支出182.03万元，占3.32</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2020年一般公共预算基本支出4241.19万元，其中：人员经费3982.14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259.05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七、政府性基金预算支出决算情况说明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2020</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2020</w:t>
      </w:r>
      <w:r>
        <w:rPr>
          <w:rFonts w:hint="eastAsia" w:ascii="仿宋" w:hAnsi="仿宋" w:eastAsia="仿宋"/>
          <w:sz w:val="32"/>
          <w:szCs w:val="32"/>
        </w:rPr>
        <w:t>年“三公”经费预算为36.5万元。2020年“三公”经费支出预算数比</w:t>
      </w:r>
      <w:r>
        <w:rPr>
          <w:rFonts w:ascii="仿宋" w:hAnsi="仿宋" w:eastAsia="仿宋"/>
          <w:sz w:val="32"/>
          <w:szCs w:val="32"/>
        </w:rPr>
        <w:t>2019</w:t>
      </w:r>
      <w:r>
        <w:rPr>
          <w:rFonts w:hint="eastAsia" w:ascii="仿宋" w:hAnsi="仿宋" w:eastAsia="仿宋"/>
          <w:sz w:val="32"/>
          <w:szCs w:val="32"/>
        </w:rPr>
        <w:t>年减少25.08万元，下降了40.73</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ascii="仿宋" w:hAnsi="仿宋" w:eastAsia="仿宋"/>
          <w:b/>
          <w:sz w:val="32"/>
          <w:szCs w:val="32"/>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2020</w:t>
      </w:r>
      <w:r>
        <w:rPr>
          <w:rFonts w:hint="eastAsia" w:ascii="仿宋" w:hAnsi="仿宋" w:eastAsia="仿宋"/>
          <w:sz w:val="32"/>
          <w:szCs w:val="32"/>
        </w:rPr>
        <w:t>年没有安排因公出国（境）费用的收入和支出预算。预算数与</w:t>
      </w:r>
      <w:r>
        <w:rPr>
          <w:rFonts w:ascii="仿宋" w:hAnsi="仿宋" w:eastAsia="仿宋"/>
          <w:sz w:val="32"/>
          <w:szCs w:val="32"/>
        </w:rPr>
        <w:t>2019</w:t>
      </w:r>
      <w:r>
        <w:rPr>
          <w:rFonts w:hint="eastAsia" w:ascii="仿宋" w:hAnsi="仿宋" w:eastAsia="仿宋"/>
          <w:sz w:val="32"/>
          <w:szCs w:val="32"/>
        </w:rPr>
        <w:t>年持平。主要原因是加强出国经费管理，对出国经费进行压缩。</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（二）公务用车购置及运行费19.7万元，</w:t>
      </w:r>
      <w:r>
        <w:rPr>
          <w:rFonts w:hint="eastAsia" w:ascii="仿宋" w:hAnsi="仿宋" w:eastAsia="仿宋"/>
          <w:sz w:val="32"/>
          <w:szCs w:val="32"/>
        </w:rPr>
        <w:t>其中，公务用车购置费</w:t>
      </w:r>
      <w:r>
        <w:rPr>
          <w:rFonts w:ascii="仿宋" w:hAnsi="仿宋" w:eastAsia="仿宋"/>
          <w:sz w:val="32"/>
          <w:szCs w:val="32"/>
        </w:rPr>
        <w:t>0</w:t>
      </w:r>
      <w:r>
        <w:rPr>
          <w:rFonts w:hint="eastAsia" w:ascii="仿宋" w:hAnsi="仿宋" w:eastAsia="仿宋"/>
          <w:sz w:val="32"/>
          <w:szCs w:val="32"/>
        </w:rPr>
        <w:t>元；公务用车运行维护费19.7万元，主要用于开展工作所需公务用车的燃料费、维修费、过路过桥费、保险费、安全奖励费用等支出。我局</w:t>
      </w:r>
      <w:r>
        <w:rPr>
          <w:rFonts w:ascii="仿宋" w:hAnsi="仿宋" w:eastAsia="仿宋"/>
          <w:sz w:val="32"/>
          <w:szCs w:val="32"/>
        </w:rPr>
        <w:t>2019</w:t>
      </w:r>
      <w:r>
        <w:rPr>
          <w:rFonts w:hint="eastAsia" w:ascii="仿宋" w:hAnsi="仿宋" w:eastAsia="仿宋"/>
          <w:sz w:val="32"/>
          <w:szCs w:val="32"/>
        </w:rPr>
        <w:t>年和</w:t>
      </w:r>
      <w:r>
        <w:rPr>
          <w:rFonts w:ascii="仿宋" w:hAnsi="仿宋" w:eastAsia="仿宋"/>
          <w:sz w:val="32"/>
          <w:szCs w:val="32"/>
        </w:rPr>
        <w:t>2020</w:t>
      </w:r>
      <w:r>
        <w:rPr>
          <w:rFonts w:hint="eastAsia" w:ascii="仿宋" w:hAnsi="仿宋" w:eastAsia="仿宋"/>
          <w:sz w:val="32"/>
          <w:szCs w:val="32"/>
        </w:rPr>
        <w:t>年均无公务用车购置费预算，公务用车购置费预算数与</w:t>
      </w:r>
      <w:r>
        <w:rPr>
          <w:rFonts w:ascii="仿宋" w:hAnsi="仿宋" w:eastAsia="仿宋"/>
          <w:sz w:val="32"/>
          <w:szCs w:val="32"/>
        </w:rPr>
        <w:t>2019</w:t>
      </w:r>
      <w:r>
        <w:rPr>
          <w:rFonts w:hint="eastAsia" w:ascii="仿宋" w:hAnsi="仿宋" w:eastAsia="仿宋"/>
          <w:sz w:val="32"/>
          <w:szCs w:val="32"/>
        </w:rPr>
        <w:t>年持平。公务用车运行维护费预算数比</w:t>
      </w:r>
      <w:r>
        <w:rPr>
          <w:rFonts w:ascii="仿宋" w:hAnsi="仿宋" w:eastAsia="仿宋"/>
          <w:sz w:val="32"/>
          <w:szCs w:val="32"/>
        </w:rPr>
        <w:t>2019</w:t>
      </w:r>
      <w:r>
        <w:rPr>
          <w:rFonts w:hint="eastAsia" w:ascii="仿宋" w:hAnsi="仿宋" w:eastAsia="仿宋"/>
          <w:sz w:val="32"/>
          <w:szCs w:val="32"/>
        </w:rPr>
        <w:t>年减少21.48万元，下降了52.16</w:t>
      </w:r>
      <w:r>
        <w:rPr>
          <w:rFonts w:ascii="仿宋" w:hAnsi="仿宋" w:eastAsia="仿宋"/>
          <w:sz w:val="32"/>
          <w:szCs w:val="32"/>
        </w:rPr>
        <w:t>%</w:t>
      </w:r>
      <w:r>
        <w:rPr>
          <w:rFonts w:hint="eastAsia" w:ascii="仿宋" w:hAnsi="仿宋" w:eastAsia="仿宋"/>
          <w:sz w:val="32"/>
          <w:szCs w:val="32"/>
        </w:rPr>
        <w:t>，主要原因是落实公车改革政策，加强公务用车管理，严控公务用车支出。</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（三）公务接待费16.8万元，</w:t>
      </w:r>
      <w:r>
        <w:rPr>
          <w:rFonts w:hint="eastAsia" w:ascii="仿宋" w:hAnsi="仿宋" w:eastAsia="仿宋"/>
          <w:sz w:val="32"/>
          <w:szCs w:val="32"/>
        </w:rPr>
        <w:t>主要用于按规定开支的各类公务接待支出。预算数比</w:t>
      </w:r>
      <w:r>
        <w:rPr>
          <w:rFonts w:ascii="仿宋" w:hAnsi="仿宋" w:eastAsia="仿宋"/>
          <w:sz w:val="32"/>
          <w:szCs w:val="32"/>
        </w:rPr>
        <w:t>2019</w:t>
      </w:r>
      <w:r>
        <w:rPr>
          <w:rFonts w:hint="eastAsia" w:ascii="仿宋" w:hAnsi="仿宋" w:eastAsia="仿宋"/>
          <w:sz w:val="32"/>
          <w:szCs w:val="32"/>
        </w:rPr>
        <w:t>年减少3.6万元，下降了17.65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主要原因是严格执行《党政机关国内公务接待管理规定》等办法，不断规范公务接待管理，严格接待审批控制，厉行勤俭节约，不断压缩公务接待费支出。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驻马店市财政局</w:t>
      </w:r>
      <w:r>
        <w:rPr>
          <w:rFonts w:ascii="仿宋" w:hAnsi="仿宋" w:eastAsia="仿宋"/>
          <w:sz w:val="32"/>
          <w:szCs w:val="32"/>
        </w:rPr>
        <w:t>2020</w:t>
      </w:r>
      <w:r>
        <w:rPr>
          <w:rFonts w:hint="eastAsia" w:ascii="仿宋" w:hAnsi="仿宋" w:eastAsia="仿宋"/>
          <w:sz w:val="32"/>
          <w:szCs w:val="32"/>
        </w:rPr>
        <w:t>年机关运行经费支出预算为259.05万元，主要保障机构正常运转及政策履职需要。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年政府采购预算安排1243.46万元，其中：政府采购货物预算226.97万元，政府采购服务预算</w:t>
      </w:r>
      <w:r>
        <w:rPr>
          <w:rFonts w:ascii="仿宋" w:hAnsi="仿宋" w:eastAsia="仿宋"/>
          <w:sz w:val="32"/>
          <w:szCs w:val="32"/>
        </w:rPr>
        <w:t>1016.</w:t>
      </w:r>
      <w:r>
        <w:rPr>
          <w:rFonts w:hint="eastAsia" w:ascii="仿宋" w:hAnsi="仿宋" w:eastAsia="仿宋"/>
          <w:sz w:val="32"/>
          <w:szCs w:val="32"/>
        </w:rPr>
        <w:t>49万元。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2020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年期末，我局共有车辆6辆，其中：一般公务用车6辆、一般执法执勤用车0辆、其他用车0辆，其他用车主要是机要通信用车0辆、应急车辆0辆、老干部用车0辆；单价</w:t>
      </w:r>
      <w:r>
        <w:rPr>
          <w:rFonts w:ascii="仿宋" w:hAnsi="仿宋" w:eastAsia="仿宋"/>
          <w:sz w:val="32"/>
          <w:szCs w:val="32"/>
        </w:rPr>
        <w:t>50</w:t>
      </w:r>
      <w:r>
        <w:rPr>
          <w:rFonts w:hint="eastAsia" w:ascii="仿宋" w:hAnsi="仿宋" w:eastAsia="仿宋"/>
          <w:sz w:val="32"/>
          <w:szCs w:val="32"/>
        </w:rPr>
        <w:t>万元以上通用设备</w:t>
      </w:r>
      <w:r>
        <w:rPr>
          <w:rFonts w:ascii="仿宋" w:hAnsi="仿宋" w:eastAsia="仿宋"/>
          <w:sz w:val="32"/>
          <w:szCs w:val="32"/>
        </w:rPr>
        <w:t>2</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ascii="仿宋" w:hAnsi="仿宋" w:eastAsia="仿宋"/>
          <w:sz w:val="32"/>
          <w:szCs w:val="32"/>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我局负责参与管理的专项转移支付项目</w:t>
      </w:r>
      <w:r>
        <w:rPr>
          <w:rFonts w:ascii="仿宋" w:hAnsi="仿宋" w:eastAsia="仿宋"/>
          <w:sz w:val="32"/>
          <w:szCs w:val="32"/>
        </w:rPr>
        <w:t>0</w:t>
      </w:r>
      <w:r>
        <w:rPr>
          <w:rFonts w:hint="eastAsia" w:ascii="仿宋" w:hAnsi="仿宋" w:eastAsia="仿宋"/>
          <w:sz w:val="32"/>
          <w:szCs w:val="32"/>
        </w:rPr>
        <w:t>项。</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ascii="黑体" w:hAnsi="黑体" w:eastAsia="黑体" w:cs="黑体"/>
          <w:sz w:val="32"/>
          <w:szCs w:val="32"/>
        </w:rPr>
        <w:t>20</w:t>
      </w:r>
      <w:r>
        <w:rPr>
          <w:rFonts w:hint="eastAsia" w:ascii="黑体" w:hAnsi="黑体" w:eastAsia="黑体" w:cs="黑体"/>
          <w:sz w:val="32"/>
          <w:szCs w:val="32"/>
        </w:rPr>
        <w:t>20年度部门预算表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E0A"/>
    <w:rsid w:val="00024F6B"/>
    <w:rsid w:val="00046304"/>
    <w:rsid w:val="00081A39"/>
    <w:rsid w:val="00082E97"/>
    <w:rsid w:val="00092293"/>
    <w:rsid w:val="000A57D3"/>
    <w:rsid w:val="000A793C"/>
    <w:rsid w:val="000B2C71"/>
    <w:rsid w:val="000D2EF0"/>
    <w:rsid w:val="000E1025"/>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3523C"/>
    <w:rsid w:val="004402A9"/>
    <w:rsid w:val="00440E08"/>
    <w:rsid w:val="0044221E"/>
    <w:rsid w:val="00445854"/>
    <w:rsid w:val="004523F4"/>
    <w:rsid w:val="00475A3F"/>
    <w:rsid w:val="00485E69"/>
    <w:rsid w:val="00486CF5"/>
    <w:rsid w:val="00495029"/>
    <w:rsid w:val="004B1C7F"/>
    <w:rsid w:val="004B2AB1"/>
    <w:rsid w:val="004B5AC1"/>
    <w:rsid w:val="004D3E72"/>
    <w:rsid w:val="00506CD7"/>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02D"/>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3C6F27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locked/>
    <w:uiPriority w:val="99"/>
    <w:rPr>
      <w:sz w:val="2"/>
      <w:szCs w:val="2"/>
    </w:rPr>
  </w:style>
  <w:style w:type="character" w:customStyle="1" w:styleId="11">
    <w:name w:val="页眉 Char"/>
    <w:basedOn w:val="7"/>
    <w:link w:val="4"/>
    <w:semiHidden/>
    <w:uiPriority w:val="99"/>
    <w:rPr>
      <w:rFonts w:cs="Calibri"/>
      <w:sz w:val="18"/>
      <w:szCs w:val="18"/>
    </w:rPr>
  </w:style>
  <w:style w:type="character" w:customStyle="1" w:styleId="12">
    <w:name w:val="页脚 Char"/>
    <w:basedOn w:val="7"/>
    <w:link w:val="3"/>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AD87A-59CF-4F8A-91D2-8D804F5335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867</Words>
  <Characters>4944</Characters>
  <Lines>41</Lines>
  <Paragraphs>11</Paragraphs>
  <TotalTime>976</TotalTime>
  <ScaleCrop>false</ScaleCrop>
  <LinksUpToDate>false</LinksUpToDate>
  <CharactersWithSpaces>5800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2021-06-10T07:00:37Z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C31764AB9B124323A983F63A9A7A8C1F</vt:lpwstr>
  </property>
</Properties>
</file>