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60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20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2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年中共驻马店市委党校部门预算说明</w:t>
      </w:r>
    </w:p>
    <w:p>
      <w:pPr>
        <w:widowControl/>
        <w:spacing w:line="600" w:lineRule="exact"/>
        <w:ind w:firstLine="480"/>
        <w:jc w:val="center"/>
        <w:rPr>
          <w:rFonts w:ascii="仿宋" w:hAnsi="仿宋" w:eastAsia="仿宋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480"/>
        <w:jc w:val="center"/>
        <w:rPr>
          <w:rFonts w:ascii="宋体" w:cs="Times New Roman"/>
          <w:b/>
          <w:bCs/>
          <w:kern w:val="0"/>
          <w:sz w:val="52"/>
          <w:szCs w:val="52"/>
        </w:rPr>
      </w:pPr>
      <w:r>
        <w:rPr>
          <w:rFonts w:hint="eastAsia" w:ascii="宋体" w:hAnsi="宋体" w:cs="宋体"/>
          <w:b/>
          <w:bCs/>
          <w:kern w:val="0"/>
          <w:sz w:val="52"/>
          <w:szCs w:val="52"/>
        </w:rPr>
        <w:t>目</w:t>
      </w:r>
      <w:r>
        <w:rPr>
          <w:rFonts w:ascii="宋体" w:hAnsi="宋体" w:cs="宋体"/>
          <w:b/>
          <w:bCs/>
          <w:kern w:val="0"/>
          <w:sz w:val="52"/>
          <w:szCs w:val="52"/>
        </w:rPr>
        <w:t xml:space="preserve">  </w:t>
      </w:r>
      <w:r>
        <w:rPr>
          <w:rFonts w:hint="eastAsia" w:ascii="宋体" w:hAnsi="宋体" w:cs="宋体"/>
          <w:b/>
          <w:bCs/>
          <w:kern w:val="0"/>
          <w:sz w:val="52"/>
          <w:szCs w:val="52"/>
        </w:rPr>
        <w:t>录</w:t>
      </w:r>
    </w:p>
    <w:p>
      <w:pPr>
        <w:widowControl/>
        <w:spacing w:line="600" w:lineRule="exact"/>
        <w:ind w:firstLine="627" w:firstLineChars="196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第一部分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中共驻马店市委党校概况</w:t>
      </w:r>
    </w:p>
    <w:p>
      <w:pPr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一、主要职能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二、机构设置及预算单位构成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第二部分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中共驻马店市委党校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20年度部门预算情况说明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六、一般公共预算基本支出预算情况说明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七、政府性基金预算支出</w:t>
      </w:r>
      <w:r>
        <w:rPr>
          <w:rFonts w:hint="eastAsia" w:ascii="仿宋" w:hAnsi="仿宋" w:eastAsia="仿宋"/>
          <w:sz w:val="32"/>
          <w:szCs w:val="32"/>
          <w:lang w:eastAsia="zh-CN"/>
        </w:rPr>
        <w:t>预</w:t>
      </w:r>
      <w:r>
        <w:rPr>
          <w:rFonts w:hint="eastAsia" w:ascii="仿宋" w:hAnsi="仿宋" w:eastAsia="仿宋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九、其他重要事项的情况说明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第三部分</w:t>
      </w:r>
      <w:r>
        <w:rPr>
          <w:rFonts w:ascii="黑体" w:hAnsi="黑体" w:eastAsia="黑体" w:cs="黑体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kern w:val="0"/>
          <w:sz w:val="32"/>
          <w:szCs w:val="32"/>
        </w:rPr>
        <w:t>名词解释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附件：中共驻马店市委党校</w:t>
      </w:r>
      <w:r>
        <w:rPr>
          <w:rFonts w:ascii="黑体" w:hAnsi="黑体" w:eastAsia="黑体" w:cs="黑体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2"/>
          <w:szCs w:val="32"/>
        </w:rPr>
        <w:t>年度部门预算表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收支预算总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二、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支出预算分类汇总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三、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支出预算汇总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四、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支出预算明细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五、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项目支出明细表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六、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财政拨款支出明细表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Times New Roman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七、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财政拨款支出明细表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八、政府性基金支出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明细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九、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政府采购预算表</w:t>
      </w:r>
    </w:p>
    <w:p>
      <w:pPr>
        <w:widowControl/>
        <w:spacing w:line="60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十、“三公”经费支出预算表</w:t>
      </w: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第一部分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中共</w:t>
      </w:r>
      <w:r>
        <w:rPr>
          <w:rFonts w:hint="eastAsia" w:ascii="黑体" w:hAnsi="黑体" w:eastAsia="黑体"/>
          <w:sz w:val="36"/>
          <w:szCs w:val="36"/>
        </w:rPr>
        <w:t>驻马店</w:t>
      </w:r>
      <w:r>
        <w:rPr>
          <w:rFonts w:hint="eastAsia" w:ascii="黑体" w:hAnsi="黑体" w:eastAsia="黑体"/>
          <w:sz w:val="36"/>
          <w:szCs w:val="36"/>
          <w:lang w:eastAsia="zh-CN"/>
        </w:rPr>
        <w:t>市委党校</w:t>
      </w:r>
      <w:r>
        <w:rPr>
          <w:rFonts w:hint="eastAsia" w:ascii="黑体" w:hAnsi="黑体" w:eastAsia="黑体"/>
          <w:sz w:val="36"/>
          <w:szCs w:val="36"/>
        </w:rPr>
        <w:t>概况</w:t>
      </w:r>
    </w:p>
    <w:p>
      <w:pPr>
        <w:spacing w:line="600" w:lineRule="exact"/>
      </w:pPr>
      <w:r>
        <w:t> 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sz w:val="32"/>
          <w:szCs w:val="32"/>
          <w:lang w:eastAsia="zh-CN"/>
        </w:rPr>
        <w:t>中共</w:t>
      </w:r>
      <w:r>
        <w:rPr>
          <w:rFonts w:hint="eastAsia" w:ascii="黑体" w:hAnsi="黑体" w:eastAsia="黑体"/>
          <w:sz w:val="32"/>
          <w:szCs w:val="32"/>
        </w:rPr>
        <w:t>驻马店</w:t>
      </w:r>
      <w:r>
        <w:rPr>
          <w:rFonts w:hint="eastAsia" w:ascii="黑体" w:hAnsi="黑体" w:eastAsia="黑体"/>
          <w:sz w:val="32"/>
          <w:szCs w:val="32"/>
          <w:lang w:eastAsia="zh-CN"/>
        </w:rPr>
        <w:t>市委党校</w:t>
      </w:r>
      <w:r>
        <w:rPr>
          <w:rFonts w:hint="eastAsia" w:ascii="黑体" w:hAnsi="黑体" w:eastAsia="黑体"/>
          <w:sz w:val="32"/>
          <w:szCs w:val="32"/>
        </w:rPr>
        <w:t>主要职能</w:t>
      </w:r>
    </w:p>
    <w:p>
      <w:pPr>
        <w:spacing w:line="600" w:lineRule="exact"/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中共驻马店市委党校的主要职能：是市委的工作部门，是驻马店市党政领导干部培训的基地、马克思主义中国化理论的宣传阵地、驻马店市党员领导干部党性锻炼的熔炉，是市委、市政府决策的服务基地。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  <w:lang w:eastAsia="zh-CN"/>
        </w:rPr>
        <w:t>中共</w:t>
      </w:r>
      <w:r>
        <w:rPr>
          <w:rFonts w:hint="eastAsia" w:ascii="黑体" w:hAnsi="黑体" w:eastAsia="黑体"/>
          <w:sz w:val="32"/>
          <w:szCs w:val="32"/>
        </w:rPr>
        <w:t>驻马店</w:t>
      </w:r>
      <w:r>
        <w:rPr>
          <w:rFonts w:hint="eastAsia" w:ascii="黑体" w:hAnsi="黑体" w:eastAsia="黑体"/>
          <w:sz w:val="32"/>
          <w:szCs w:val="32"/>
          <w:lang w:eastAsia="zh-CN"/>
        </w:rPr>
        <w:t>市委党校</w:t>
      </w:r>
      <w:r>
        <w:rPr>
          <w:rFonts w:hint="eastAsia" w:ascii="黑体" w:hAnsi="黑体" w:eastAsia="黑体"/>
          <w:sz w:val="32"/>
          <w:szCs w:val="32"/>
        </w:rPr>
        <w:t>机构设置及预算单位构成</w:t>
      </w:r>
    </w:p>
    <w:p>
      <w:pPr>
        <w:spacing w:line="55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中共驻马店</w:t>
      </w:r>
      <w:r>
        <w:rPr>
          <w:rFonts w:hint="eastAsia" w:ascii="仿宋" w:hAnsi="仿宋" w:eastAsia="仿宋" w:cs="仿宋_GB2312"/>
          <w:sz w:val="32"/>
          <w:szCs w:val="32"/>
        </w:rPr>
        <w:t>市委党校共设置19个科室分别是：机关党办、办公室、人事科、行政科、保卫科、教务科、学员科、科研室、图书馆、函授站、政治经济学教研室、哲学教研室、科学社会主义教研室、中共党史教研室、法律法规教研室、行政与人事管理教研室、经济管理教研室、现代科技教研室、中共党建教研室。</w:t>
      </w:r>
    </w:p>
    <w:p>
      <w:pPr>
        <w:widowControl/>
        <w:spacing w:line="600" w:lineRule="exact"/>
        <w:ind w:firstLine="480"/>
        <w:rPr>
          <w:rFonts w:ascii="华文仿宋" w:hAnsi="华文仿宋" w:eastAsia="华文仿宋" w:cs="Times New Roman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部门预算单位构成:纳入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驻马店市委党校2021年度部门预算编制范围的单位共1个，即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驻马店市委党校本级，我单位无二级机构。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第二部分</w:t>
      </w: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600" w:lineRule="exact"/>
        <w:jc w:val="center"/>
        <w:rPr>
          <w:rFonts w:ascii="黑体" w:hAnsi="黑体" w:eastAsia="黑体" w:cs="Times New Roman"/>
          <w:kern w:val="0"/>
          <w:sz w:val="36"/>
          <w:szCs w:val="36"/>
        </w:rPr>
      </w:pPr>
      <w:r>
        <w:rPr>
          <w:rFonts w:ascii="黑体" w:hAnsi="黑体" w:eastAsia="黑体" w:cs="黑体"/>
          <w:kern w:val="0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kern w:val="0"/>
          <w:sz w:val="36"/>
          <w:szCs w:val="36"/>
        </w:rPr>
        <w:t>驻马店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市委党校</w:t>
      </w:r>
      <w:r>
        <w:rPr>
          <w:rFonts w:ascii="黑体" w:hAnsi="黑体" w:eastAsia="黑体" w:cs="黑体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年度部门预算情况说明</w:t>
      </w:r>
    </w:p>
    <w:p>
      <w:pPr>
        <w:spacing w:line="600" w:lineRule="exac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一、收入支出预算总体情况说明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驻马店市委党校2021年收入总计1945.6万元，支出总计1945.6万元，与2020年预算相比，收、支总计各增加312.79万元，上升19.16%。主要原因是工资福利支出较上年增加、主体班培训费增加。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二、收入预算总体情况说明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eastAsia="仿宋"/>
          <w:sz w:val="32"/>
          <w:szCs w:val="32"/>
        </w:rPr>
        <w:t> 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年收入合计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/>
          <w:sz w:val="32"/>
          <w:szCs w:val="32"/>
        </w:rPr>
        <w:t>万元。其中：一般公共预算收入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1935.6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  <w:lang w:eastAsia="zh-CN"/>
        </w:rPr>
        <w:t>，上级转移支付收入10万元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三、支出预算总体情况说明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中共驻马店市委党校202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年支出合计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万元，其中：基本支出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1715.9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88.2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%；项目支出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229.75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万元，占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11.8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%。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四、财政拨款收入支出预算总体情况说明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ascii="仿宋" w:hAnsi="仿宋" w:eastAsia="仿宋" w:cs="仿宋_GB2312"/>
          <w:sz w:val="32"/>
          <w:szCs w:val="32"/>
        </w:rPr>
        <w:t>202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年一般公共预算收支预算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1935.6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</w:t>
      </w:r>
      <w:r>
        <w:rPr>
          <w:rFonts w:hint="eastAsia" w:ascii="仿宋" w:hAnsi="仿宋" w:eastAsia="仿宋"/>
          <w:sz w:val="32"/>
          <w:szCs w:val="32"/>
        </w:rPr>
        <w:t>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年相比，一般公共预算收支预算</w:t>
      </w:r>
      <w:r>
        <w:rPr>
          <w:rFonts w:hint="eastAsia" w:ascii="仿宋" w:hAnsi="仿宋" w:eastAsia="仿宋"/>
          <w:sz w:val="32"/>
          <w:szCs w:val="32"/>
          <w:lang w:eastAsia="zh-CN"/>
        </w:rPr>
        <w:t>增加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312.79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  <w:lang w:eastAsia="zh-CN"/>
        </w:rPr>
        <w:t>上升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19.16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。主要原因是工资福利支出有所增加、主体班培训费增加。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五、一般公共预算支出预算情况说明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ascii="仿宋" w:hAnsi="仿宋" w:eastAsia="仿宋" w:cs="仿宋_GB2312"/>
          <w:color w:val="333333"/>
          <w:sz w:val="32"/>
          <w:szCs w:val="32"/>
        </w:rPr>
        <w:t>202</w:t>
      </w:r>
      <w:r>
        <w:rPr>
          <w:rFonts w:hint="eastAsia" w:ascii="仿宋" w:hAnsi="仿宋" w:eastAsia="仿宋" w:cs="仿宋_GB2312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color w:val="333333"/>
          <w:sz w:val="32"/>
          <w:szCs w:val="32"/>
        </w:rPr>
        <w:t>年一般公共预算支出年初预算为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万元。主要用于以下方面：一般公共服务（类）支出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126.8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6.5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；社会保障和就业支出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1346.9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69.2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；卫生健康支出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5.7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；住房保障支出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80.6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万元，占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4.1</w:t>
      </w:r>
      <w:r>
        <w:rPr>
          <w:rFonts w:ascii="仿宋" w:hAnsi="仿宋" w:eastAsia="仿宋" w:cs="仿宋_GB2312"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六、一般公共预算基本支出预算情况说明和支出预算经济分类情况说明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eastAsia="仿宋"/>
          <w:sz w:val="32"/>
          <w:szCs w:val="32"/>
        </w:rPr>
        <w:t> 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年一般公共预算基本支出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1945.6</w:t>
      </w:r>
      <w:r>
        <w:rPr>
          <w:rFonts w:hint="eastAsia" w:ascii="仿宋" w:hAnsi="仿宋" w:eastAsia="仿宋"/>
          <w:sz w:val="32"/>
          <w:szCs w:val="32"/>
        </w:rPr>
        <w:t>万元，其中：人员经费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1346.9</w:t>
      </w:r>
      <w:r>
        <w:rPr>
          <w:rFonts w:hint="eastAsia" w:ascii="仿宋" w:hAnsi="仿宋" w:eastAsia="仿宋"/>
          <w:sz w:val="32"/>
          <w:szCs w:val="32"/>
        </w:rPr>
        <w:t>万元，主要包括：基本工资、津贴补贴、奖金、其他社会保障缴费、伙食补助费、绩效工资、机关事业单位基本养老保险缴费、职业年金缴费、其他工资福利支出、离休费、退休费、退职（役）费、抚恤金、生活补助、医疗费、助学金、奖励金、生产补贴、住房公积金、提租补贴、购房补贴、采暖补贴、物业服务补贴、其他对个人和家庭的补助支出；公用经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126.8</w:t>
      </w:r>
      <w:r>
        <w:rPr>
          <w:rFonts w:hint="eastAsia" w:ascii="仿宋" w:hAnsi="仿宋" w:eastAsia="仿宋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按照《财政部关于印发&lt;支出经济分类科目改革方案&gt;的通知》（财预〔2017〕98号）要求，从2018年起全面实施支出经济分类科目改革，根据政府预算管理和部门预算管理的不同特点，分设部门预算支出经济分类科目和政府预算支出经济分类科目，两套科目之间保持对应关系。为适应改革要求，我部门《支出经济分类汇总表》由上年仅反映一般公共预算基本支出经济分类科目预算，调整为按两套经济分类科目分别反映不同资金来源的全部预算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七、政府性基金预算支出</w:t>
      </w:r>
      <w:r>
        <w:rPr>
          <w:rFonts w:hint="eastAsia" w:ascii="黑体" w:hAnsi="黑体" w:eastAsia="黑体"/>
          <w:sz w:val="32"/>
          <w:szCs w:val="32"/>
          <w:lang w:eastAsia="zh-CN"/>
        </w:rPr>
        <w:t>预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年无使用政府性基金预算拨款安排的支出。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八、“三公”经费支出预算情况说明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</w:rPr>
        <w:t>万元。202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年“三公”经费支出预算数比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2.8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68.3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 xml:space="preserve">。     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具体支出情况如下：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（一）因公出国</w:t>
      </w:r>
      <w:r>
        <w:rPr>
          <w:rFonts w:ascii="仿宋" w:hAnsi="仿宋" w:eastAsia="仿宋"/>
          <w:b/>
          <w:sz w:val="32"/>
          <w:szCs w:val="32"/>
        </w:rPr>
        <w:t>(</w:t>
      </w:r>
      <w:r>
        <w:rPr>
          <w:rFonts w:hint="eastAsia" w:ascii="仿宋" w:hAnsi="仿宋" w:eastAsia="仿宋"/>
          <w:b/>
          <w:sz w:val="32"/>
          <w:szCs w:val="32"/>
        </w:rPr>
        <w:t>境</w:t>
      </w:r>
      <w:r>
        <w:rPr>
          <w:rFonts w:ascii="仿宋" w:hAnsi="仿宋" w:eastAsia="仿宋"/>
          <w:b/>
          <w:sz w:val="32"/>
          <w:szCs w:val="32"/>
        </w:rPr>
        <w:t>)</w:t>
      </w:r>
      <w:r>
        <w:rPr>
          <w:rFonts w:hint="eastAsia" w:ascii="仿宋" w:hAnsi="仿宋" w:eastAsia="仿宋"/>
          <w:b/>
          <w:sz w:val="32"/>
          <w:szCs w:val="32"/>
        </w:rPr>
        <w:t>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主要用于单位工作人员公务出国（境）的住宿费、旅费、伙食补助费、杂费、培训费等支出。我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年没有安排因公出国（境）费用的收入和支出预算。预算数与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（二）公务用车购置及运行费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b/>
          <w:sz w:val="32"/>
          <w:szCs w:val="32"/>
        </w:rPr>
        <w:t>万元</w:t>
      </w:r>
      <w:r>
        <w:rPr>
          <w:rFonts w:hint="eastAsia" w:ascii="仿宋" w:hAnsi="仿宋" w:eastAsia="仿宋"/>
          <w:sz w:val="32"/>
          <w:szCs w:val="32"/>
        </w:rPr>
        <w:t>，主要用于开展工作所需公务用车的燃料费、维修费、过路过桥费、保险费、安全奖励费用等支出。</w:t>
      </w:r>
      <w:r>
        <w:rPr>
          <w:rFonts w:hint="eastAsia" w:ascii="仿宋" w:hAnsi="仿宋" w:eastAsia="仿宋"/>
          <w:sz w:val="32"/>
          <w:szCs w:val="32"/>
          <w:lang w:eastAsia="zh-CN"/>
        </w:rPr>
        <w:t>其中</w:t>
      </w:r>
      <w:r>
        <w:rPr>
          <w:rFonts w:hint="eastAsia" w:ascii="仿宋" w:hAnsi="仿宋" w:eastAsia="仿宋"/>
          <w:sz w:val="32"/>
          <w:szCs w:val="32"/>
        </w:rPr>
        <w:t>公务用车购置费预算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0万元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比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2020年持平。</w:t>
      </w:r>
      <w:r>
        <w:rPr>
          <w:rFonts w:hint="eastAsia" w:ascii="仿宋" w:hAnsi="仿宋" w:eastAsia="仿宋"/>
          <w:sz w:val="32"/>
          <w:szCs w:val="32"/>
        </w:rPr>
        <w:t>公务用车运行维护费预算</w:t>
      </w:r>
      <w:r>
        <w:rPr>
          <w:rFonts w:hint="eastAsia" w:ascii="仿宋" w:hAnsi="仿宋" w:eastAsia="仿宋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1.3万元，</w:t>
      </w:r>
      <w:r>
        <w:rPr>
          <w:rFonts w:hint="eastAsia" w:ascii="仿宋" w:hAnsi="仿宋" w:eastAsia="仿宋"/>
          <w:sz w:val="32"/>
          <w:szCs w:val="32"/>
        </w:rPr>
        <w:t>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1.3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，主要原因是严格遵守八项规定，加强公务用车管理，节约开支。</w:t>
      </w:r>
    </w:p>
    <w:p>
      <w:pPr>
        <w:spacing w:line="600" w:lineRule="exact"/>
        <w:ind w:firstLine="643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（三）公务接待费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b/>
          <w:sz w:val="32"/>
          <w:szCs w:val="32"/>
        </w:rPr>
        <w:t>万元，</w:t>
      </w:r>
      <w:r>
        <w:rPr>
          <w:rFonts w:hint="eastAsia" w:ascii="仿宋" w:hAnsi="仿宋" w:eastAsia="仿宋"/>
          <w:sz w:val="32"/>
          <w:szCs w:val="32"/>
        </w:rPr>
        <w:t>主要用于按规定开支的各类公务接待支出。预算数比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年减少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1.5</w:t>
      </w:r>
      <w:r>
        <w:rPr>
          <w:rFonts w:hint="eastAsia" w:ascii="仿宋" w:hAnsi="仿宋" w:eastAsia="仿宋"/>
          <w:sz w:val="32"/>
          <w:szCs w:val="32"/>
        </w:rPr>
        <w:t>万元，下降了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100</w:t>
      </w:r>
      <w:r>
        <w:rPr>
          <w:rFonts w:ascii="仿宋" w:hAnsi="仿宋" w:eastAsia="仿宋"/>
          <w:sz w:val="32"/>
          <w:szCs w:val="32"/>
        </w:rPr>
        <w:t>%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 w:cs="仿宋_GB2312"/>
          <w:sz w:val="32"/>
          <w:szCs w:val="32"/>
        </w:rPr>
        <w:t>主要原因是2021年预算紧张，没有安排此项费用。</w:t>
      </w:r>
    </w:p>
    <w:p>
      <w:p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九、其他重要事项的情况说明</w:t>
      </w:r>
    </w:p>
    <w:p>
      <w:pPr>
        <w:spacing w:line="60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（一）机关运行经费支出情况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中共</w:t>
      </w:r>
      <w:r>
        <w:rPr>
          <w:rFonts w:hint="eastAsia" w:ascii="仿宋" w:hAnsi="仿宋" w:eastAsia="仿宋" w:cs="仿宋_GB2312"/>
          <w:sz w:val="32"/>
          <w:szCs w:val="32"/>
        </w:rPr>
        <w:t>驻马店市委党校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年机关运行经费支出预算为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126.8</w:t>
      </w:r>
      <w:r>
        <w:rPr>
          <w:rFonts w:hint="eastAsia" w:ascii="仿宋" w:hAnsi="仿宋" w:eastAsia="仿宋"/>
          <w:sz w:val="32"/>
          <w:szCs w:val="32"/>
        </w:rPr>
        <w:t>万元，主要保障机构正常运转及政策履职需要。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（二）政府采购支出情况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年政府采购预算安排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/>
          <w:sz w:val="32"/>
          <w:szCs w:val="32"/>
        </w:rPr>
        <w:t>万元，其中：政府采购货物预算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160</w:t>
      </w:r>
      <w:r>
        <w:rPr>
          <w:rFonts w:hint="eastAsia" w:ascii="仿宋" w:hAnsi="仿宋" w:eastAsia="仿宋"/>
          <w:sz w:val="32"/>
          <w:szCs w:val="32"/>
        </w:rPr>
        <w:t>万元，政府采购服务预算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（三）绩效目标设置情况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年预算项目均按要求编制了绩效目标，从项目产出、项目效益、满意度等方面设置了绩效指标，综合反映项目预期完成的数量、实效、质量、预期达到的社会经济效益、可持续影响以及服务对象满意度等情况。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（四）国有资产占用情况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年期末，我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共有车辆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辆，其中：一般公务用车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辆、一般执法执勤用车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辆、其他用车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辆，其他用车主要是机要通信用车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辆、应急车辆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辆、老干部用车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辆；单价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套。</w:t>
      </w:r>
    </w:p>
    <w:p>
      <w:pPr>
        <w:spacing w:line="600" w:lineRule="exact"/>
        <w:ind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（五）专项转移支付项目情况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/>
          <w:sz w:val="32"/>
          <w:szCs w:val="32"/>
        </w:rPr>
        <w:t>负责参与管理的专项转移支付项目</w:t>
      </w:r>
      <w:r>
        <w:rPr>
          <w:rFonts w:hint="eastAsia" w:ascii="仿宋" w:hAnsi="仿宋" w:eastAsia="仿宋"/>
          <w:sz w:val="32"/>
          <w:szCs w:val="32"/>
          <w:lang w:eastAsia="zh-CN"/>
        </w:rPr>
        <w:t>经费为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10万元，主要用于</w:t>
      </w:r>
      <w:r>
        <w:rPr>
          <w:rFonts w:hint="eastAsia" w:ascii="仿宋" w:hAnsi="仿宋" w:eastAsia="仿宋"/>
          <w:sz w:val="32"/>
          <w:szCs w:val="32"/>
          <w:lang w:eastAsia="zh-CN"/>
        </w:rPr>
        <w:t>艾防经费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第三部分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名词解释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一、财政拨款收入：是指市级财政当年拨付的资金。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二、事业收入:是指事业单位开展专业活动及辅助活动所取得的收入。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三、其他收入：是指部门取得的除“财政拨款”、“事业收入”、“事业单位经营收入”等以外的收入。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，用于弥补以后年度收支差额的基金）弥补当年收支缺口的资金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六、项目支出：是指在基本支出之外，为完成特定的行政工作任务或事业发展目标所发生的支出。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“三公”经费：是指纳入市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line="60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adjustRightInd w:val="0"/>
        <w:snapToGrid w:val="0"/>
        <w:spacing w:line="600" w:lineRule="exac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年中共驻马店市委党校部门预算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公开</w:t>
      </w:r>
      <w:r>
        <w:rPr>
          <w:rFonts w:hint="eastAsia" w:ascii="黑体" w:hAnsi="黑体" w:eastAsia="黑体" w:cs="黑体"/>
          <w:sz w:val="32"/>
          <w:szCs w:val="32"/>
        </w:rPr>
        <w:t>表</w:t>
      </w:r>
    </w:p>
    <w:p>
      <w:pPr>
        <w:spacing w:line="600" w:lineRule="exact"/>
      </w:pP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0A"/>
    <w:rsid w:val="00024F6B"/>
    <w:rsid w:val="00046304"/>
    <w:rsid w:val="00081A39"/>
    <w:rsid w:val="00082E97"/>
    <w:rsid w:val="00092293"/>
    <w:rsid w:val="000A57D3"/>
    <w:rsid w:val="000A793C"/>
    <w:rsid w:val="000B2C71"/>
    <w:rsid w:val="000D2EF0"/>
    <w:rsid w:val="000E1E98"/>
    <w:rsid w:val="000F00F0"/>
    <w:rsid w:val="000F07CF"/>
    <w:rsid w:val="00103B01"/>
    <w:rsid w:val="00130D39"/>
    <w:rsid w:val="00132510"/>
    <w:rsid w:val="00135319"/>
    <w:rsid w:val="00157DC9"/>
    <w:rsid w:val="00164490"/>
    <w:rsid w:val="0016485B"/>
    <w:rsid w:val="00174BB7"/>
    <w:rsid w:val="00197F39"/>
    <w:rsid w:val="001D3474"/>
    <w:rsid w:val="001F0097"/>
    <w:rsid w:val="001F0DC7"/>
    <w:rsid w:val="001F3EA8"/>
    <w:rsid w:val="00267A52"/>
    <w:rsid w:val="00277F07"/>
    <w:rsid w:val="00281F39"/>
    <w:rsid w:val="00282C62"/>
    <w:rsid w:val="002A5C59"/>
    <w:rsid w:val="002C63F2"/>
    <w:rsid w:val="00313C25"/>
    <w:rsid w:val="00321C62"/>
    <w:rsid w:val="00322205"/>
    <w:rsid w:val="00357CD3"/>
    <w:rsid w:val="0036405E"/>
    <w:rsid w:val="00380842"/>
    <w:rsid w:val="00394026"/>
    <w:rsid w:val="003B307C"/>
    <w:rsid w:val="003D2251"/>
    <w:rsid w:val="003D4DA1"/>
    <w:rsid w:val="003F281A"/>
    <w:rsid w:val="003F6FA5"/>
    <w:rsid w:val="00402A63"/>
    <w:rsid w:val="004059A2"/>
    <w:rsid w:val="00413874"/>
    <w:rsid w:val="0041494C"/>
    <w:rsid w:val="00425830"/>
    <w:rsid w:val="004402A9"/>
    <w:rsid w:val="00440E08"/>
    <w:rsid w:val="0044221E"/>
    <w:rsid w:val="00445854"/>
    <w:rsid w:val="004523F4"/>
    <w:rsid w:val="00475A3F"/>
    <w:rsid w:val="00485E69"/>
    <w:rsid w:val="00486CF5"/>
    <w:rsid w:val="00495029"/>
    <w:rsid w:val="004B1C7F"/>
    <w:rsid w:val="004B2AB1"/>
    <w:rsid w:val="004B5AC1"/>
    <w:rsid w:val="004D3E72"/>
    <w:rsid w:val="00517F70"/>
    <w:rsid w:val="00520079"/>
    <w:rsid w:val="00520C68"/>
    <w:rsid w:val="005458CE"/>
    <w:rsid w:val="00547FA8"/>
    <w:rsid w:val="005653F6"/>
    <w:rsid w:val="00574E19"/>
    <w:rsid w:val="00593ACE"/>
    <w:rsid w:val="00594B0A"/>
    <w:rsid w:val="005A7D02"/>
    <w:rsid w:val="005C73B8"/>
    <w:rsid w:val="00624C7A"/>
    <w:rsid w:val="00655743"/>
    <w:rsid w:val="00660C03"/>
    <w:rsid w:val="00676BA6"/>
    <w:rsid w:val="00691D56"/>
    <w:rsid w:val="00697E78"/>
    <w:rsid w:val="006A220B"/>
    <w:rsid w:val="006B3606"/>
    <w:rsid w:val="006B3FE3"/>
    <w:rsid w:val="00700239"/>
    <w:rsid w:val="00700B9A"/>
    <w:rsid w:val="007136D4"/>
    <w:rsid w:val="00737C3B"/>
    <w:rsid w:val="00755247"/>
    <w:rsid w:val="0076118A"/>
    <w:rsid w:val="00791B9D"/>
    <w:rsid w:val="007922C8"/>
    <w:rsid w:val="007A040A"/>
    <w:rsid w:val="007B4386"/>
    <w:rsid w:val="007D4A49"/>
    <w:rsid w:val="007D7A4A"/>
    <w:rsid w:val="007E0369"/>
    <w:rsid w:val="007E6EE0"/>
    <w:rsid w:val="00804982"/>
    <w:rsid w:val="0086203B"/>
    <w:rsid w:val="0087679C"/>
    <w:rsid w:val="008803FE"/>
    <w:rsid w:val="00882505"/>
    <w:rsid w:val="008A14DB"/>
    <w:rsid w:val="008A2A42"/>
    <w:rsid w:val="008B58F3"/>
    <w:rsid w:val="008B63CD"/>
    <w:rsid w:val="008C6D08"/>
    <w:rsid w:val="008D1B9C"/>
    <w:rsid w:val="008D5A65"/>
    <w:rsid w:val="008F0447"/>
    <w:rsid w:val="008F3BA6"/>
    <w:rsid w:val="00912829"/>
    <w:rsid w:val="00914D64"/>
    <w:rsid w:val="00926A33"/>
    <w:rsid w:val="009507BF"/>
    <w:rsid w:val="009574C3"/>
    <w:rsid w:val="00965F4F"/>
    <w:rsid w:val="00987F87"/>
    <w:rsid w:val="0099182F"/>
    <w:rsid w:val="009B17AE"/>
    <w:rsid w:val="009B1DCD"/>
    <w:rsid w:val="00A0087B"/>
    <w:rsid w:val="00A0547F"/>
    <w:rsid w:val="00A111CB"/>
    <w:rsid w:val="00A51477"/>
    <w:rsid w:val="00A6587F"/>
    <w:rsid w:val="00A75D9C"/>
    <w:rsid w:val="00A83E1B"/>
    <w:rsid w:val="00AA09FD"/>
    <w:rsid w:val="00AB26EC"/>
    <w:rsid w:val="00AE18EF"/>
    <w:rsid w:val="00B02CDE"/>
    <w:rsid w:val="00B16384"/>
    <w:rsid w:val="00B32090"/>
    <w:rsid w:val="00B35C03"/>
    <w:rsid w:val="00B60387"/>
    <w:rsid w:val="00B62A35"/>
    <w:rsid w:val="00B71283"/>
    <w:rsid w:val="00B8118B"/>
    <w:rsid w:val="00BB32E4"/>
    <w:rsid w:val="00BB5328"/>
    <w:rsid w:val="00BC25A8"/>
    <w:rsid w:val="00BC482D"/>
    <w:rsid w:val="00BF3E2E"/>
    <w:rsid w:val="00C05FD2"/>
    <w:rsid w:val="00C1216D"/>
    <w:rsid w:val="00C16BCC"/>
    <w:rsid w:val="00C24430"/>
    <w:rsid w:val="00C32353"/>
    <w:rsid w:val="00C324EE"/>
    <w:rsid w:val="00C46EC8"/>
    <w:rsid w:val="00C547E8"/>
    <w:rsid w:val="00C555BA"/>
    <w:rsid w:val="00C822B5"/>
    <w:rsid w:val="00C84D92"/>
    <w:rsid w:val="00C961DC"/>
    <w:rsid w:val="00C97DB5"/>
    <w:rsid w:val="00CB5205"/>
    <w:rsid w:val="00CC09A9"/>
    <w:rsid w:val="00CF06D4"/>
    <w:rsid w:val="00D06F40"/>
    <w:rsid w:val="00D1533C"/>
    <w:rsid w:val="00D1724E"/>
    <w:rsid w:val="00D263AD"/>
    <w:rsid w:val="00D32AF5"/>
    <w:rsid w:val="00D43271"/>
    <w:rsid w:val="00D66752"/>
    <w:rsid w:val="00DB6E0A"/>
    <w:rsid w:val="00DC2B51"/>
    <w:rsid w:val="00DD2FFD"/>
    <w:rsid w:val="00DD6237"/>
    <w:rsid w:val="00DD6651"/>
    <w:rsid w:val="00E16978"/>
    <w:rsid w:val="00E247EF"/>
    <w:rsid w:val="00E42482"/>
    <w:rsid w:val="00E42FC7"/>
    <w:rsid w:val="00E504A7"/>
    <w:rsid w:val="00E66C96"/>
    <w:rsid w:val="00E90CF6"/>
    <w:rsid w:val="00E95E4C"/>
    <w:rsid w:val="00E962BF"/>
    <w:rsid w:val="00EB1647"/>
    <w:rsid w:val="00ED0313"/>
    <w:rsid w:val="00EF00AC"/>
    <w:rsid w:val="00EF0A3A"/>
    <w:rsid w:val="00F26566"/>
    <w:rsid w:val="00F31989"/>
    <w:rsid w:val="00F3215C"/>
    <w:rsid w:val="00F32AF3"/>
    <w:rsid w:val="00F33AA2"/>
    <w:rsid w:val="00F372DE"/>
    <w:rsid w:val="00F43772"/>
    <w:rsid w:val="00F47160"/>
    <w:rsid w:val="00F471FF"/>
    <w:rsid w:val="00F71085"/>
    <w:rsid w:val="00F82CBC"/>
    <w:rsid w:val="00F846C0"/>
    <w:rsid w:val="00F87D66"/>
    <w:rsid w:val="00FA0F9B"/>
    <w:rsid w:val="00FA6BF0"/>
    <w:rsid w:val="00FB172E"/>
    <w:rsid w:val="00FB5612"/>
    <w:rsid w:val="00FC0622"/>
    <w:rsid w:val="00FC6DFC"/>
    <w:rsid w:val="00FD4CB7"/>
    <w:rsid w:val="1EFB577C"/>
    <w:rsid w:val="28C94153"/>
    <w:rsid w:val="34787E99"/>
    <w:rsid w:val="41AE167A"/>
    <w:rsid w:val="43A754A2"/>
    <w:rsid w:val="524F70DF"/>
    <w:rsid w:val="6F7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2"/>
      <w:szCs w:val="2"/>
    </w:rPr>
  </w:style>
  <w:style w:type="character" w:customStyle="1" w:styleId="11">
    <w:name w:val="页眉 Char"/>
    <w:basedOn w:val="7"/>
    <w:link w:val="4"/>
    <w:semiHidden/>
    <w:qFormat/>
    <w:uiPriority w:val="99"/>
    <w:rPr>
      <w:rFonts w:cs="Calibri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863</Words>
  <Characters>4920</Characters>
  <Lines>41</Lines>
  <Paragraphs>11</Paragraphs>
  <TotalTime>3</TotalTime>
  <ScaleCrop>false</ScaleCrop>
  <LinksUpToDate>false</LinksUpToDate>
  <CharactersWithSpaces>5772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2017-11-03T04:07:00Z</dcterms:created>
  <dc:creator>6102</dc:creator>
  <cp:lastModifiedBy>penny</cp:lastModifiedBy>
  <cp:lastPrinted>2018-03-22T04:03:00Z</cp:lastPrinted>
  <dcterms:modified xsi:type="dcterms:W3CDTF">2021-04-08T03:29:01Z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  <property fmtid="{D5CDD505-2E9C-101B-9397-08002B2CF9AE}" pid="3" name="ICV">
    <vt:lpwstr>A44000688B1749D59154B2D152BF592C</vt:lpwstr>
  </property>
</Properties>
</file>