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20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年驻马店市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不动产登记服务中心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6"/>
          <w:szCs w:val="36"/>
        </w:rPr>
      </w:pPr>
    </w:p>
    <w:p>
      <w:pPr>
        <w:widowControl/>
        <w:spacing w:line="600" w:lineRule="exact"/>
        <w:ind w:firstLine="3534" w:firstLineChars="800"/>
        <w:jc w:val="both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</w:t>
      </w:r>
      <w:r>
        <w:rPr>
          <w:rFonts w:ascii="宋体" w:hAnsi="宋体" w:cs="宋体"/>
          <w:b/>
          <w:bCs/>
          <w:kern w:val="0"/>
          <w:sz w:val="44"/>
          <w:szCs w:val="44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不动产登记服务中心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不动产登记服务中心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不动产登记服务中心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ind w:firstLine="3600" w:firstLineChars="1000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不动产登记服务中心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不动产登记服务中心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spacing w:line="600" w:lineRule="exact"/>
        <w:ind w:firstLine="63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驻马店市不动产登记服务中心为公益一类事业单位，编制150人，经费实行财政全额拨款。由原市住房管理中心、原市不动产登记中心、原市房地产交易管理所和原市房产信息中心组合成立，按照市政府授权，承担全市中心城区不动产登记与交易相关任务。</w:t>
      </w:r>
      <w:r>
        <w:rPr>
          <w:rFonts w:hint="eastAsia" w:ascii="仿宋" w:hAnsi="仿宋" w:eastAsia="仿宋" w:cs="仿宋"/>
          <w:sz w:val="32"/>
          <w:szCs w:val="32"/>
        </w:rPr>
        <w:t>主要职责是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line="360" w:lineRule="auto"/>
        <w:ind w:left="-11" w:leftChars="0" w:firstLine="641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负责市辖区集体土地所有权、房屋等建筑物、构筑物所有权，森林、林木所有权，耕地、林地、草地等土地承包经营权，建设用地使用权，矿产使用权，宅基地使用权，地役权，抵押权及水域权等不动产的权属调查、测绘面积备案、登记交易工作；承担跨市域位到本市一方的不动产登记工作，指定因跨县域登记管辖争议而协商不能的登记管辖工作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-10" w:leftChars="0" w:firstLine="640"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负责不动产登记交易平台建设，制定不动产登记交易平台管理制度、操作规程和服务标准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负责商品房和存量房交易合同网签备案、房屋抵押合同网签备案、房屋租赁合同网签备案。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-10" w:leftChars="0" w:firstLine="640"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负责商品房和存量房交易合同网签备案、房屋抵押合同网签备案、房屋租赁合同网签备案。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负责市城市规划区内房屋交易资金的管理服务。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负责不动产信息系统建设，网络安全防护，信息安全容灾备份，根据有关规定向社会公开发布各种不动产登记交易相关信息，开展信息数据的分析预测。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负责市辖区不动产登记交易簿册等相关档案资料的管理，依据有关规定提供信息查询、查核、利用服务。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承办市政府交办的其他事项。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7" w:afterLines="50"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不动产登记服务中心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不动产登记服务中心</w:t>
      </w:r>
      <w:r>
        <w:rPr>
          <w:rFonts w:hint="eastAsia" w:ascii="仿宋" w:hAnsi="仿宋" w:eastAsia="仿宋" w:cs="仿宋_GB2312"/>
          <w:sz w:val="32"/>
          <w:szCs w:val="32"/>
        </w:rPr>
        <w:t>内设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_GB2312"/>
          <w:sz w:val="32"/>
          <w:szCs w:val="32"/>
        </w:rPr>
        <w:t>个职能科室，分别是</w:t>
      </w:r>
      <w:r>
        <w:rPr>
          <w:rFonts w:hint="eastAsia" w:ascii="仿宋" w:hAnsi="仿宋" w:eastAsia="仿宋"/>
          <w:sz w:val="32"/>
          <w:szCs w:val="32"/>
        </w:rPr>
        <w:t>办公室、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财务科、受理科、权籍测绘审核科、土地登记科、房屋登记交易科、农业产权科、综合登记科、租赁备案科、</w:t>
      </w:r>
      <w:r>
        <w:rPr>
          <w:rFonts w:hint="eastAsia" w:ascii="仿宋" w:hAnsi="仿宋" w:eastAsia="仿宋" w:cs="仿宋"/>
          <w:sz w:val="32"/>
          <w:szCs w:val="32"/>
        </w:rPr>
        <w:t>法规效能科、信息技术科、档案管理科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不动产登记服务中心部门预算为中心机关本级预算。</w:t>
      </w: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1.驻马店市不动产登记服务中心本级；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600" w:lineRule="exact"/>
        <w:ind w:right="0" w:rightChars="0" w:firstLine="480"/>
        <w:textAlignment w:val="auto"/>
        <w:rPr>
          <w:rFonts w:ascii="华文仿宋" w:hAnsi="华文仿宋" w:eastAsia="华文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驻马店市财政局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不动产登记服务中心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3844.2644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3844.2644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增加846.5051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28.23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是自2021年起超编人员经费全部列入部门预算。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不动产登记服务中心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3844.2644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3844.2644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不动产登记服务中心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3844.2644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3252.6644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84.61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591.6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15.39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不动产登记服务中心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3844.2644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增加846.5051</w:t>
      </w:r>
      <w:r>
        <w:rPr>
          <w:rFonts w:hint="eastAsia" w:ascii="仿宋" w:hAnsi="仿宋" w:eastAsia="仿宋"/>
          <w:sz w:val="32"/>
          <w:szCs w:val="32"/>
        </w:rPr>
        <w:t>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上升28.23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自2021年起超编人员经费全部列入部门预算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不动产登记服务中心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3844.2644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489.4009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12.73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205.3831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5.34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3149.4804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81.93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3252.6644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3025.8131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226.8513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/>
          <w:sz w:val="32"/>
          <w:szCs w:val="32"/>
        </w:rPr>
        <w:t>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中心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中心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16.6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增加4.2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33.87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中心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我中心无因公出国（境）业务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9.6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2020年减少0万元，主要原因是我中心未购置公共用车。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9.6万元，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增加1.2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14.28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开展农房登记工作，公务用车运行费增加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增加3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本年度具体工作事项地市间行业交流工作增加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市不动产登记服务中心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580.6759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464.7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230.5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234.2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宋体" w:eastAsia="仿宋_GB2312" w:cs="Courier New"/>
          <w:sz w:val="32"/>
          <w:szCs w:val="32"/>
        </w:rPr>
        <w:t>202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Courier New"/>
          <w:sz w:val="32"/>
          <w:szCs w:val="32"/>
        </w:rPr>
        <w:t>年拟对“不动产登记与交易一体化平台建设”项目进行预算绩效评价，涉及资金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339.6</w:t>
      </w:r>
      <w:r>
        <w:rPr>
          <w:rFonts w:hint="eastAsia" w:ascii="仿宋_GB2312" w:hAnsi="宋体" w:eastAsia="仿宋_GB2312" w:cs="Courier New"/>
          <w:sz w:val="32"/>
          <w:szCs w:val="32"/>
        </w:rPr>
        <w:t>万元。我中心202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Courier New"/>
          <w:sz w:val="32"/>
          <w:szCs w:val="32"/>
        </w:rPr>
        <w:t>年预算项目均按要求编制了绩效目标，从项目产出、项目效益、满意度等方面设置了绩效指标，综合反映项目预期完成的数量、实效、质量，预期达到的社会经济效益、可持续影响以及服务对象满意度等情况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不动产登记服务中心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97DFD"/>
    <w:multiLevelType w:val="singleLevel"/>
    <w:tmpl w:val="75197DFD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307AF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22945BB"/>
    <w:rsid w:val="079F6076"/>
    <w:rsid w:val="09D318FA"/>
    <w:rsid w:val="14A444E5"/>
    <w:rsid w:val="188B6CAB"/>
    <w:rsid w:val="18C54210"/>
    <w:rsid w:val="1C037051"/>
    <w:rsid w:val="1EFB577C"/>
    <w:rsid w:val="22DB2EE1"/>
    <w:rsid w:val="25317CB9"/>
    <w:rsid w:val="26561E51"/>
    <w:rsid w:val="2A684A50"/>
    <w:rsid w:val="327E2EF8"/>
    <w:rsid w:val="33491711"/>
    <w:rsid w:val="34787E99"/>
    <w:rsid w:val="42FA0482"/>
    <w:rsid w:val="47C669C4"/>
    <w:rsid w:val="4BC71CF8"/>
    <w:rsid w:val="4E7C513B"/>
    <w:rsid w:val="511D52B9"/>
    <w:rsid w:val="56A30B44"/>
    <w:rsid w:val="57B96677"/>
    <w:rsid w:val="5A441F05"/>
    <w:rsid w:val="5AD07137"/>
    <w:rsid w:val="6ABF1884"/>
    <w:rsid w:val="6D093FB6"/>
    <w:rsid w:val="7336471C"/>
    <w:rsid w:val="7619132D"/>
    <w:rsid w:val="76F67401"/>
    <w:rsid w:val="7CE86567"/>
    <w:rsid w:val="7D92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863</Words>
  <Characters>4920</Characters>
  <Lines>41</Lines>
  <Paragraphs>11</Paragraphs>
  <TotalTime>254</TotalTime>
  <ScaleCrop>false</ScaleCrop>
  <LinksUpToDate>false</LinksUpToDate>
  <CharactersWithSpaces>5772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penny</cp:lastModifiedBy>
  <cp:lastPrinted>2021-03-30T01:59:00Z</cp:lastPrinted>
  <dcterms:modified xsi:type="dcterms:W3CDTF">2021-04-06T08:41:30Z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4280BF633CE74E4A932EE0A8634B3AFD</vt:lpwstr>
  </property>
</Properties>
</file>