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r>
        <w:rPr>
          <w:rFonts w:asciiTheme="majorEastAsia" w:hAnsiTheme="majorEastAsia" w:eastAsiaTheme="majorEastAsia"/>
          <w:b/>
          <w:sz w:val="44"/>
          <w:szCs w:val="44"/>
        </w:rPr>
        <w:t>20</w:t>
      </w:r>
      <w:r>
        <w:rPr>
          <w:rFonts w:hint="eastAsia" w:asciiTheme="majorEastAsia" w:hAnsiTheme="majorEastAsia" w:eastAsiaTheme="majorEastAsia"/>
          <w:b/>
          <w:sz w:val="44"/>
          <w:szCs w:val="44"/>
        </w:rPr>
        <w:t>21年驻马店市医疗保障局部门预算说明</w:t>
      </w:r>
    </w:p>
    <w:p>
      <w:pPr>
        <w:widowControl/>
        <w:spacing w:line="600" w:lineRule="exact"/>
        <w:ind w:firstLine="480"/>
        <w:jc w:val="center"/>
        <w:rPr>
          <w:rFonts w:ascii="仿宋" w:hAnsi="仿宋" w:eastAsia="仿宋" w:cs="Times New Roman"/>
          <w:b/>
          <w:bCs/>
          <w:kern w:val="0"/>
          <w:sz w:val="32"/>
          <w:szCs w:val="32"/>
        </w:rPr>
      </w:pPr>
    </w:p>
    <w:p>
      <w:pPr>
        <w:widowControl/>
        <w:spacing w:line="600" w:lineRule="exact"/>
        <w:ind w:firstLine="480"/>
        <w:jc w:val="center"/>
        <w:rPr>
          <w:rFonts w:ascii="宋体" w:cs="Times New Roman"/>
          <w:b/>
          <w:bCs/>
          <w:kern w:val="0"/>
          <w:sz w:val="52"/>
          <w:szCs w:val="52"/>
        </w:rPr>
      </w:pPr>
      <w:r>
        <w:rPr>
          <w:rFonts w:hint="eastAsia" w:ascii="宋体" w:hAnsi="宋体" w:cs="宋体"/>
          <w:b/>
          <w:bCs/>
          <w:kern w:val="0"/>
          <w:sz w:val="52"/>
          <w:szCs w:val="52"/>
        </w:rPr>
        <w:t>目</w:t>
      </w:r>
      <w:r>
        <w:rPr>
          <w:rFonts w:ascii="宋体" w:hAnsi="宋体" w:cs="宋体"/>
          <w:b/>
          <w:bCs/>
          <w:kern w:val="0"/>
          <w:sz w:val="52"/>
          <w:szCs w:val="52"/>
        </w:rPr>
        <w:t xml:space="preserve">  </w:t>
      </w:r>
      <w:r>
        <w:rPr>
          <w:rFonts w:hint="eastAsia" w:ascii="宋体" w:hAnsi="宋体" w:cs="宋体"/>
          <w:b/>
          <w:bCs/>
          <w:kern w:val="0"/>
          <w:sz w:val="52"/>
          <w:szCs w:val="52"/>
        </w:rPr>
        <w:t>录</w:t>
      </w: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驻马店市医疗保障局概况</w:t>
      </w:r>
    </w:p>
    <w:p>
      <w:pPr>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一、主要职能</w:t>
      </w:r>
    </w:p>
    <w:p>
      <w:pPr>
        <w:spacing w:line="60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二、机构设置及预算单位构成</w:t>
      </w:r>
    </w:p>
    <w:p>
      <w:pPr>
        <w:spacing w:line="600" w:lineRule="exact"/>
        <w:ind w:firstLine="640" w:firstLineChars="200"/>
        <w:rPr>
          <w:rFonts w:ascii="仿宋" w:hAnsi="仿宋" w:eastAsia="仿宋" w:cs="Times New Roman"/>
          <w:kern w:val="0"/>
          <w:sz w:val="32"/>
          <w:szCs w:val="32"/>
        </w:rPr>
      </w:pP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第二部分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驻马店市医疗保障局</w:t>
      </w:r>
      <w:r>
        <w:rPr>
          <w:rFonts w:ascii="黑体" w:hAnsi="黑体" w:eastAsia="黑体" w:cs="黑体"/>
          <w:kern w:val="0"/>
          <w:sz w:val="32"/>
          <w:szCs w:val="32"/>
        </w:rPr>
        <w:t>20</w:t>
      </w:r>
      <w:r>
        <w:rPr>
          <w:rFonts w:hint="eastAsia" w:ascii="黑体" w:hAnsi="黑体" w:eastAsia="黑体" w:cs="黑体"/>
          <w:kern w:val="0"/>
          <w:sz w:val="32"/>
          <w:szCs w:val="32"/>
        </w:rPr>
        <w:t>20年度部门预算情况说明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w:t>
      </w:r>
      <w:r>
        <w:rPr>
          <w:rFonts w:hint="eastAsia" w:ascii="仿宋" w:hAnsi="仿宋" w:eastAsia="仿宋"/>
          <w:sz w:val="32"/>
          <w:szCs w:val="32"/>
          <w:lang w:eastAsia="zh-CN"/>
        </w:rPr>
        <w:t>预</w:t>
      </w:r>
      <w:r>
        <w:rPr>
          <w:rFonts w:hint="eastAsia" w:ascii="仿宋" w:hAnsi="仿宋" w:eastAsia="仿宋"/>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w:t>
      </w:r>
      <w:r>
        <w:rPr>
          <w:rFonts w:ascii="黑体" w:hAnsi="黑体" w:eastAsia="黑体" w:cs="黑体"/>
          <w:kern w:val="0"/>
          <w:sz w:val="32"/>
          <w:szCs w:val="32"/>
        </w:rPr>
        <w:t xml:space="preserve"> </w:t>
      </w:r>
      <w:r>
        <w:rPr>
          <w:rFonts w:hint="eastAsia" w:ascii="黑体" w:hAnsi="黑体" w:eastAsia="黑体" w:cs="黑体"/>
          <w:kern w:val="0"/>
          <w:sz w:val="32"/>
          <w:szCs w:val="32"/>
        </w:rPr>
        <w:t>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附件：驻马店市医疗保障局</w:t>
      </w:r>
      <w:r>
        <w:rPr>
          <w:rFonts w:ascii="黑体" w:hAnsi="黑体" w:eastAsia="黑体" w:cs="黑体"/>
          <w:kern w:val="0"/>
          <w:sz w:val="32"/>
          <w:szCs w:val="32"/>
        </w:rPr>
        <w:t>20</w:t>
      </w:r>
      <w:r>
        <w:rPr>
          <w:rFonts w:hint="eastAsia" w:ascii="黑体" w:hAnsi="黑体" w:eastAsia="黑体" w:cs="黑体"/>
          <w:kern w:val="0"/>
          <w:sz w:val="32"/>
          <w:szCs w:val="32"/>
        </w:rPr>
        <w:t>21年度部门预算表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一、部门收支总体情况表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二、部门收入总体情况表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三、部门支出总体情况表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四、财政拨款收支总体情况表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五、一般公共预算支出情况表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六、支出经济分类汇总表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七、一般公共预算“三公”经费支出情况表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八、政府性基金预算支出情况表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九、重点项目预算的绩效目标表</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第一部分</w:t>
      </w:r>
    </w:p>
    <w:p>
      <w:pPr>
        <w:spacing w:line="600" w:lineRule="exact"/>
        <w:jc w:val="center"/>
        <w:rPr>
          <w:rFonts w:ascii="黑体" w:hAnsi="黑体" w:eastAsia="黑体"/>
          <w:sz w:val="36"/>
          <w:szCs w:val="36"/>
        </w:rPr>
      </w:pPr>
      <w:r>
        <w:rPr>
          <w:rFonts w:hint="eastAsia" w:ascii="黑体" w:hAnsi="黑体" w:eastAsia="黑体"/>
          <w:sz w:val="36"/>
          <w:szCs w:val="36"/>
        </w:rPr>
        <w:t>驻马店市医疗保障局概况</w:t>
      </w:r>
    </w:p>
    <w:p>
      <w:pPr>
        <w:spacing w:line="600" w:lineRule="exact"/>
      </w:pPr>
      <w:r>
        <w:t>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一、驻马店市医疗保障局主要职能</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根据《中共驻马店市委办公室驻马店市人民政府办公室关于印发&lt;驻马店市医疗保障局职能配置内设机构和人员编制规定&gt;的通知》（驻办文〔2019〕29号）文件规定，驻马店市医疗保障局是市政府工作部门，贯彻落实党中央关于医疗保障管理工作的方针政策和决策部署，在履行职责过程中坚持和加强党对医疗保障管理工作的集中统一领导。主要职责是：</w:t>
      </w:r>
    </w:p>
    <w:p>
      <w:pPr>
        <w:spacing w:line="600" w:lineRule="exact"/>
        <w:ind w:firstLine="640" w:firstLineChars="200"/>
        <w:rPr>
          <w:rFonts w:ascii="仿宋" w:hAnsi="仿宋" w:eastAsia="仿宋" w:cs="仿宋_GB2312"/>
          <w:sz w:val="32"/>
          <w:szCs w:val="32"/>
          <w:shd w:val="clear" w:color="000000" w:fill="auto"/>
        </w:rPr>
      </w:pPr>
      <w:r>
        <w:rPr>
          <w:rFonts w:hint="eastAsia" w:ascii="仿宋" w:hAnsi="仿宋" w:eastAsia="仿宋" w:cs="仿宋_GB2312"/>
          <w:sz w:val="32"/>
          <w:szCs w:val="32"/>
          <w:shd w:val="clear" w:color="000000" w:fill="auto"/>
        </w:rPr>
        <w:t>（一）拟订医疗保险、生育保险、离休人员医疗保障、移交政府安置的军队离退休干部医疗保障、医疗救助等医疗保障制度的政策、规划和标准并组织实施。</w:t>
      </w:r>
    </w:p>
    <w:p>
      <w:pPr>
        <w:spacing w:line="600" w:lineRule="exact"/>
        <w:ind w:firstLine="640" w:firstLineChars="200"/>
        <w:rPr>
          <w:rFonts w:ascii="仿宋" w:hAnsi="仿宋" w:eastAsia="仿宋" w:cs="仿宋_GB2312"/>
          <w:sz w:val="32"/>
          <w:szCs w:val="32"/>
          <w:shd w:val="clear" w:color="000000" w:fill="auto"/>
        </w:rPr>
      </w:pPr>
      <w:r>
        <w:rPr>
          <w:rFonts w:hint="eastAsia" w:ascii="仿宋" w:hAnsi="仿宋" w:eastAsia="仿宋" w:cs="仿宋_GB2312"/>
          <w:sz w:val="32"/>
          <w:szCs w:val="32"/>
          <w:shd w:val="clear" w:color="000000" w:fill="auto"/>
        </w:rPr>
        <w:t>（二）组织实施医疗保障基金监督管理办法，建立健全医疗保障基金安全防控机制，推进医疗保障基金支付方式改革。</w:t>
      </w:r>
    </w:p>
    <w:p>
      <w:pPr>
        <w:spacing w:line="600" w:lineRule="exact"/>
        <w:ind w:firstLine="640" w:firstLineChars="200"/>
        <w:rPr>
          <w:rFonts w:ascii="仿宋" w:hAnsi="仿宋" w:eastAsia="仿宋" w:cs="仿宋_GB2312"/>
          <w:sz w:val="32"/>
          <w:szCs w:val="32"/>
          <w:shd w:val="clear" w:color="000000" w:fill="auto"/>
        </w:rPr>
      </w:pPr>
      <w:r>
        <w:rPr>
          <w:rFonts w:hint="eastAsia" w:ascii="仿宋" w:hAnsi="仿宋" w:eastAsia="仿宋" w:cs="仿宋_GB2312"/>
          <w:sz w:val="32"/>
          <w:szCs w:val="32"/>
          <w:shd w:val="clear" w:color="000000" w:fill="auto"/>
        </w:rPr>
        <w:t>（三）组织实施医疗保障筹资和待遇政策，完善动态调整和区域调剂平衡机制，统筹城乡医疗保障待遇标准，建立健全与筹资水平相适应的待遇调整机制。推动长期护理保险制度改革。</w:t>
      </w:r>
    </w:p>
    <w:p>
      <w:pPr>
        <w:spacing w:line="600" w:lineRule="exact"/>
        <w:ind w:firstLine="640" w:firstLineChars="200"/>
        <w:rPr>
          <w:rFonts w:ascii="仿宋" w:hAnsi="仿宋" w:eastAsia="仿宋" w:cs="仿宋_GB2312"/>
          <w:sz w:val="32"/>
          <w:szCs w:val="32"/>
          <w:shd w:val="clear" w:color="000000" w:fill="auto"/>
        </w:rPr>
      </w:pPr>
      <w:r>
        <w:rPr>
          <w:rFonts w:hint="eastAsia" w:ascii="仿宋" w:hAnsi="仿宋" w:eastAsia="仿宋" w:cs="仿宋_GB2312"/>
          <w:sz w:val="32"/>
          <w:szCs w:val="32"/>
          <w:shd w:val="clear" w:color="000000" w:fill="auto"/>
        </w:rPr>
        <w:t>（四）组织实施城乡统一的药品、医用耗材、医疗服务项目、医疗服务设施等医保目录和支付标准，建立动态调整机制。</w:t>
      </w:r>
    </w:p>
    <w:p>
      <w:pPr>
        <w:spacing w:line="600" w:lineRule="exact"/>
        <w:ind w:firstLine="640" w:firstLineChars="200"/>
        <w:rPr>
          <w:rFonts w:ascii="仿宋" w:hAnsi="仿宋" w:eastAsia="仿宋" w:cs="仿宋_GB2312"/>
          <w:sz w:val="32"/>
          <w:szCs w:val="32"/>
          <w:shd w:val="clear" w:color="000000" w:fill="auto"/>
        </w:rPr>
      </w:pPr>
      <w:r>
        <w:rPr>
          <w:rFonts w:hint="eastAsia" w:ascii="仿宋" w:hAnsi="仿宋" w:eastAsia="仿宋" w:cs="仿宋_GB2312"/>
          <w:sz w:val="32"/>
          <w:szCs w:val="32"/>
          <w:shd w:val="clear" w:color="000000" w:fill="auto"/>
        </w:rPr>
        <w:t>（五）组织实施药品、医用耗材价格和医疗服务项目、医疗服务设施收费等政策，建立医保支付医药服务价格合理确定和动态调整机制，推动建立市场主导的社会医药服务价格形成机制，建立价格信息监测和信息发布制度。</w:t>
      </w:r>
    </w:p>
    <w:p>
      <w:pPr>
        <w:spacing w:line="600" w:lineRule="exact"/>
        <w:ind w:firstLine="640" w:firstLineChars="200"/>
        <w:rPr>
          <w:rFonts w:ascii="仿宋" w:hAnsi="仿宋" w:eastAsia="仿宋" w:cs="仿宋_GB2312"/>
          <w:sz w:val="32"/>
          <w:szCs w:val="32"/>
          <w:shd w:val="clear" w:color="000000" w:fill="auto"/>
        </w:rPr>
      </w:pPr>
      <w:r>
        <w:rPr>
          <w:rFonts w:hint="eastAsia" w:ascii="仿宋" w:hAnsi="仿宋" w:eastAsia="仿宋" w:cs="仿宋_GB2312"/>
          <w:sz w:val="32"/>
          <w:szCs w:val="32"/>
          <w:shd w:val="clear" w:color="000000" w:fill="auto"/>
        </w:rPr>
        <w:t>（六）监督实施药品、医用耗材的招标采购政策，指导药品、医用耗材招标采购平台建设。</w:t>
      </w:r>
    </w:p>
    <w:p>
      <w:pPr>
        <w:spacing w:line="600" w:lineRule="exact"/>
        <w:ind w:firstLine="640" w:firstLineChars="200"/>
        <w:rPr>
          <w:rFonts w:ascii="仿宋" w:hAnsi="仿宋" w:eastAsia="仿宋" w:cs="仿宋_GB2312"/>
          <w:sz w:val="32"/>
          <w:szCs w:val="32"/>
          <w:shd w:val="clear" w:color="000000" w:fill="auto"/>
        </w:rPr>
      </w:pPr>
      <w:r>
        <w:rPr>
          <w:rFonts w:hint="eastAsia" w:ascii="仿宋" w:hAnsi="仿宋" w:eastAsia="仿宋" w:cs="仿宋_GB2312"/>
          <w:sz w:val="32"/>
          <w:szCs w:val="32"/>
          <w:shd w:val="clear" w:color="000000" w:fill="auto"/>
        </w:rPr>
        <w:t>（七）拟订定点医药机构协议和支付管理办法并组织实施，建立健全医疗保障信用评价体系和信息披露制度，监督管理纳入医保范围内的医疗服务行为和医疗费用，依法查处医疗保障领域违法违规行为。</w:t>
      </w:r>
    </w:p>
    <w:p>
      <w:pPr>
        <w:spacing w:line="600" w:lineRule="exact"/>
        <w:ind w:firstLine="640" w:firstLineChars="200"/>
        <w:rPr>
          <w:rFonts w:ascii="仿宋" w:hAnsi="仿宋" w:eastAsia="仿宋" w:cs="仿宋_GB2312"/>
          <w:sz w:val="32"/>
          <w:szCs w:val="32"/>
          <w:shd w:val="clear" w:color="000000" w:fill="auto"/>
        </w:rPr>
      </w:pPr>
      <w:r>
        <w:rPr>
          <w:rFonts w:hint="eastAsia" w:ascii="仿宋" w:hAnsi="仿宋" w:eastAsia="仿宋" w:cs="仿宋_GB2312"/>
          <w:sz w:val="32"/>
          <w:szCs w:val="32"/>
          <w:shd w:val="clear" w:color="000000" w:fill="auto"/>
        </w:rPr>
        <w:t>（八）负责医疗保障经办管理、公共服务体系和信息化建设。组织落实和完善异地就医管理和费用结算政策。建立健全医疗保障关系转移接续制度。</w:t>
      </w:r>
    </w:p>
    <w:p>
      <w:pPr>
        <w:spacing w:line="600" w:lineRule="exact"/>
        <w:ind w:firstLine="640" w:firstLineChars="200"/>
        <w:rPr>
          <w:rFonts w:ascii="仿宋" w:hAnsi="仿宋" w:eastAsia="仿宋" w:cs="仿宋_GB2312"/>
          <w:sz w:val="32"/>
          <w:szCs w:val="32"/>
          <w:shd w:val="clear" w:color="000000" w:fill="auto"/>
        </w:rPr>
      </w:pPr>
      <w:r>
        <w:rPr>
          <w:rFonts w:hint="eastAsia" w:ascii="仿宋" w:hAnsi="仿宋" w:eastAsia="仿宋" w:cs="仿宋_GB2312"/>
          <w:sz w:val="32"/>
          <w:szCs w:val="32"/>
          <w:shd w:val="clear" w:color="000000" w:fill="auto"/>
        </w:rPr>
        <w:t>（九）完成市委、市政府交办的其他任务。</w:t>
      </w:r>
    </w:p>
    <w:p>
      <w:pPr>
        <w:spacing w:line="600" w:lineRule="exact"/>
        <w:ind w:firstLine="640" w:firstLineChars="200"/>
        <w:rPr>
          <w:rFonts w:ascii="仿宋" w:hAnsi="仿宋" w:eastAsia="仿宋" w:cs="仿宋_GB2312"/>
          <w:sz w:val="32"/>
          <w:szCs w:val="32"/>
          <w:shd w:val="clear" w:color="000000" w:fill="auto"/>
        </w:rPr>
      </w:pPr>
      <w:r>
        <w:rPr>
          <w:rFonts w:hint="eastAsia" w:ascii="仿宋" w:hAnsi="仿宋" w:eastAsia="仿宋" w:cs="仿宋_GB2312"/>
          <w:sz w:val="32"/>
          <w:szCs w:val="32"/>
          <w:shd w:val="clear" w:color="000000" w:fill="auto"/>
        </w:rPr>
        <w:t>（十）有关职责分工。</w:t>
      </w:r>
    </w:p>
    <w:p>
      <w:pPr>
        <w:spacing w:line="600" w:lineRule="exact"/>
        <w:ind w:firstLine="640" w:firstLineChars="200"/>
        <w:rPr>
          <w:rFonts w:ascii="仿宋" w:hAnsi="仿宋" w:eastAsia="仿宋" w:cs="仿宋_GB2312"/>
          <w:sz w:val="32"/>
          <w:szCs w:val="32"/>
          <w:shd w:val="clear" w:color="000000" w:fill="auto"/>
        </w:rPr>
      </w:pPr>
      <w:r>
        <w:rPr>
          <w:rFonts w:hint="eastAsia" w:ascii="仿宋" w:hAnsi="仿宋" w:eastAsia="仿宋" w:cs="仿宋_GB2312"/>
          <w:sz w:val="32"/>
          <w:szCs w:val="32"/>
          <w:shd w:val="clear" w:color="000000" w:fill="auto"/>
        </w:rPr>
        <w:t>1.与市卫生健康体育委员会的有关职责分工。市卫生健康体育委员会、市医疗保障局等部门在医疗、医保、医药等方面加强制度、政策衔接，建立沟通协商机制，协同推进改革，提高医疗资源使用效率和医疗保障水平。</w:t>
      </w:r>
    </w:p>
    <w:p>
      <w:pPr>
        <w:spacing w:line="600" w:lineRule="exact"/>
        <w:ind w:firstLine="640" w:firstLineChars="200"/>
        <w:rPr>
          <w:rFonts w:ascii="仿宋" w:hAnsi="仿宋" w:eastAsia="仿宋" w:cs="仿宋_GB2312"/>
          <w:sz w:val="32"/>
          <w:szCs w:val="32"/>
          <w:shd w:val="clear" w:color="000000" w:fill="auto"/>
        </w:rPr>
      </w:pPr>
      <w:r>
        <w:rPr>
          <w:rFonts w:hint="eastAsia" w:ascii="仿宋" w:hAnsi="仿宋" w:eastAsia="仿宋" w:cs="仿宋_GB2312"/>
          <w:sz w:val="32"/>
          <w:szCs w:val="32"/>
          <w:shd w:val="clear" w:color="000000" w:fill="auto"/>
        </w:rPr>
        <w:t>2.与市人力资源和社会保障局的有关职责分工。市人力资源和社会保障局、市医疗保障局在全民参保登记计划、社会保险服务平台建设、社会保障卡制发管理、应用服务信息化方面加强制度、政策衔接，建立沟通协商机制，提高经办服务效率。</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二、驻马店市医疗保障局机构设置及预算单位构成</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驻马店市医疗保障局内设5个职能科室，分别为：</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办公室。负责机关日常运转工作，承担信息、安全、保密、信访、政务公开、信息化、新闻宣传等工作。承担机关和直属单位的干部人事、机构编制、教育培训等工作。承担机关财务、资产管理和内部审计工作。组织开展法治宣传教育，承担机关规范性文件的合法性审查和清理工作。承担行政复议、行政应诉有关工作。</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待遇保障科（离休干部医疗管理科）。拟订全市医疗保障筹资和待遇政策，统筹城乡医疗保障待遇标准。统筹推进多层次医疗保障体系建设。落实市直离休人员的医保待遇。建立健全城镇职工和城乡居民医疗保险关系接续制度。推进医疗救助工作。组织实施长期护理保险制度改革。</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医药服务管理科。拟订医保目录和支付标准，建立动态调整机制。拟定定点医药机构医保协议和支付管理、异地就医管理办法和结算政策。拟订医疗保障工作规划。承担医疗保障系统统计管理工作。组织推进医保支付方式改革。组织推进医疗保障标准化、信息化建设。组织开展药品、医用耗材、医疗技术的经济性评价。</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医药价格和招标采购科。拟订药品、医用耗材价格和医疗服务项目、医疗服务设施收费等政策并组织实施，建立价格信息监测和发布制度。监督实施药品、医用耗材的招标采购、配送及结算管理政策。推进招标采购平台建设。</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五）基金监管科。组织实施医疗保障基金监督管理办法。建立健全医疗保障基金安全防控机制。建立健全医疗保障信用评价体系和信息披露制度。监督管理纳入医保支付范围的医疗服务行为和医疗费用，规范医保经办业务，依法查处医疗保障领域违法违规行为。</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市医保局部门预算包括市医保局机关本级预算和二级单位预算。</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1.驻马店市医疗保障局（本级）；</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2.驻马店市城镇职工医疗保险处。</w:t>
      </w:r>
    </w:p>
    <w:p>
      <w:pPr>
        <w:widowControl/>
        <w:spacing w:line="600" w:lineRule="exact"/>
        <w:ind w:firstLine="480"/>
        <w:rPr>
          <w:rFonts w:ascii="仿宋" w:hAnsi="仿宋" w:eastAsia="仿宋" w:cs="Times New Roman"/>
          <w:kern w:val="0"/>
          <w:sz w:val="32"/>
          <w:szCs w:val="32"/>
        </w:rPr>
      </w:pPr>
    </w:p>
    <w:p>
      <w:pPr>
        <w:widowControl/>
        <w:spacing w:line="600" w:lineRule="exact"/>
        <w:jc w:val="center"/>
        <w:rPr>
          <w:rFonts w:ascii="仿宋" w:hAnsi="仿宋" w:eastAsia="仿宋" w:cs="黑体"/>
          <w:kern w:val="0"/>
          <w:sz w:val="36"/>
          <w:szCs w:val="36"/>
        </w:rPr>
      </w:pPr>
    </w:p>
    <w:p>
      <w:pPr>
        <w:widowControl/>
        <w:spacing w:line="600" w:lineRule="exact"/>
        <w:jc w:val="center"/>
        <w:rPr>
          <w:rFonts w:ascii="仿宋" w:hAnsi="仿宋" w:eastAsia="仿宋"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hint="eastAsia" w:ascii="黑体" w:hAnsi="黑体" w:eastAsia="黑体" w:cs="黑体"/>
          <w:kern w:val="0"/>
          <w:sz w:val="36"/>
          <w:szCs w:val="36"/>
        </w:rPr>
      </w:pPr>
    </w:p>
    <w:p>
      <w:pPr>
        <w:widowControl/>
        <w:spacing w:line="600" w:lineRule="exact"/>
        <w:jc w:val="center"/>
        <w:rPr>
          <w:rFonts w:hint="eastAsia" w:ascii="黑体" w:hAnsi="黑体" w:eastAsia="黑体" w:cs="黑体"/>
          <w:kern w:val="0"/>
          <w:sz w:val="36"/>
          <w:szCs w:val="36"/>
        </w:rPr>
      </w:pPr>
    </w:p>
    <w:p>
      <w:pPr>
        <w:widowControl/>
        <w:spacing w:line="600" w:lineRule="exact"/>
        <w:jc w:val="center"/>
        <w:rPr>
          <w:rFonts w:hint="eastAsia" w:ascii="黑体" w:hAnsi="黑体" w:eastAsia="黑体" w:cs="黑体"/>
          <w:kern w:val="0"/>
          <w:sz w:val="36"/>
          <w:szCs w:val="36"/>
        </w:rPr>
      </w:pPr>
    </w:p>
    <w:p>
      <w:pPr>
        <w:widowControl/>
        <w:spacing w:line="600" w:lineRule="exact"/>
        <w:jc w:val="center"/>
        <w:rPr>
          <w:rFonts w:hint="eastAsia" w:ascii="黑体" w:hAnsi="黑体" w:eastAsia="黑体" w:cs="黑体"/>
          <w:kern w:val="0"/>
          <w:sz w:val="36"/>
          <w:szCs w:val="36"/>
        </w:rPr>
      </w:pPr>
    </w:p>
    <w:p>
      <w:pPr>
        <w:widowControl/>
        <w:spacing w:line="600" w:lineRule="exact"/>
        <w:jc w:val="center"/>
        <w:rPr>
          <w:rFonts w:hint="eastAsia" w:ascii="黑体" w:hAnsi="黑体" w:eastAsia="黑体" w:cs="黑体"/>
          <w:kern w:val="0"/>
          <w:sz w:val="36"/>
          <w:szCs w:val="36"/>
        </w:rPr>
      </w:pPr>
    </w:p>
    <w:p>
      <w:pPr>
        <w:widowControl/>
        <w:spacing w:line="600" w:lineRule="exact"/>
        <w:jc w:val="center"/>
        <w:rPr>
          <w:rFonts w:hint="eastAsia"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第二部分</w:t>
      </w:r>
      <w:r>
        <w:rPr>
          <w:rFonts w:ascii="黑体" w:hAnsi="黑体" w:eastAsia="黑体" w:cs="黑体"/>
          <w:kern w:val="0"/>
          <w:sz w:val="36"/>
          <w:szCs w:val="36"/>
        </w:rPr>
        <w:t xml:space="preserve"> </w:t>
      </w:r>
    </w:p>
    <w:p>
      <w:pPr>
        <w:widowControl/>
        <w:spacing w:line="600" w:lineRule="exact"/>
        <w:jc w:val="center"/>
        <w:rPr>
          <w:rFonts w:ascii="黑体" w:hAnsi="黑体" w:eastAsia="黑体" w:cs="Times New Roman"/>
          <w:kern w:val="0"/>
          <w:sz w:val="36"/>
          <w:szCs w:val="36"/>
        </w:rPr>
      </w:pPr>
      <w:r>
        <w:rPr>
          <w:rFonts w:ascii="黑体" w:hAnsi="黑体" w:eastAsia="黑体" w:cs="黑体"/>
          <w:kern w:val="0"/>
          <w:sz w:val="36"/>
          <w:szCs w:val="36"/>
        </w:rPr>
        <w:t xml:space="preserve"> </w:t>
      </w:r>
      <w:r>
        <w:rPr>
          <w:rFonts w:hint="eastAsia" w:ascii="黑体" w:hAnsi="黑体" w:eastAsia="黑体" w:cs="黑体"/>
          <w:kern w:val="0"/>
          <w:sz w:val="36"/>
          <w:szCs w:val="36"/>
        </w:rPr>
        <w:t>驻马店市医疗保障局</w:t>
      </w:r>
      <w:r>
        <w:rPr>
          <w:rFonts w:ascii="黑体" w:hAnsi="黑体" w:eastAsia="黑体" w:cs="黑体"/>
          <w:kern w:val="0"/>
          <w:sz w:val="36"/>
          <w:szCs w:val="36"/>
        </w:rPr>
        <w:t>20</w:t>
      </w:r>
      <w:r>
        <w:rPr>
          <w:rFonts w:hint="eastAsia" w:ascii="黑体" w:hAnsi="黑体" w:eastAsia="黑体" w:cs="黑体"/>
          <w:kern w:val="0"/>
          <w:sz w:val="36"/>
          <w:szCs w:val="36"/>
        </w:rPr>
        <w:t>21年度部门预算情况说明</w:t>
      </w:r>
    </w:p>
    <w:p>
      <w:pPr>
        <w:spacing w:line="600" w:lineRule="exact"/>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一、收入支出预算总体情况说明</w:t>
      </w:r>
    </w:p>
    <w:p>
      <w:pPr>
        <w:spacing w:line="600" w:lineRule="exact"/>
        <w:ind w:firstLine="640" w:firstLineChars="200"/>
        <w:rPr>
          <w:rFonts w:ascii="仿宋" w:hAnsi="仿宋" w:eastAsia="仿宋" w:cs="Times New Roman"/>
          <w:sz w:val="32"/>
          <w:szCs w:val="32"/>
        </w:rPr>
      </w:pPr>
      <w:r>
        <w:rPr>
          <w:rFonts w:ascii="华文仿宋" w:hAnsi="华文仿宋" w:eastAsia="仿宋" w:cs="Times New Roman"/>
          <w:sz w:val="32"/>
          <w:szCs w:val="32"/>
        </w:rPr>
        <w:t> </w:t>
      </w:r>
      <w:r>
        <w:rPr>
          <w:rFonts w:hint="eastAsia" w:ascii="仿宋" w:hAnsi="仿宋" w:eastAsia="仿宋" w:cs="仿宋_GB2312"/>
          <w:sz w:val="32"/>
          <w:szCs w:val="32"/>
        </w:rPr>
        <w:t>驻马店市医疗保障局</w:t>
      </w:r>
      <w:r>
        <w:rPr>
          <w:rFonts w:ascii="仿宋" w:hAnsi="仿宋" w:eastAsia="仿宋" w:cs="仿宋_GB2312"/>
          <w:color w:val="000000"/>
          <w:sz w:val="32"/>
          <w:szCs w:val="32"/>
        </w:rPr>
        <w:t>202</w:t>
      </w:r>
      <w:r>
        <w:rPr>
          <w:rFonts w:hint="eastAsia" w:ascii="仿宋" w:hAnsi="仿宋" w:eastAsia="仿宋" w:cs="仿宋_GB2312"/>
          <w:color w:val="000000"/>
          <w:sz w:val="32"/>
          <w:szCs w:val="32"/>
        </w:rPr>
        <w:t>1年收入总计985.68万元，支出总计985.68万元，与</w:t>
      </w:r>
      <w:r>
        <w:rPr>
          <w:rFonts w:ascii="仿宋" w:hAnsi="仿宋" w:eastAsia="仿宋" w:cs="仿宋_GB2312"/>
          <w:color w:val="000000"/>
          <w:sz w:val="32"/>
          <w:szCs w:val="32"/>
        </w:rPr>
        <w:t>20</w:t>
      </w:r>
      <w:r>
        <w:rPr>
          <w:rFonts w:hint="eastAsia" w:ascii="仿宋" w:hAnsi="仿宋" w:eastAsia="仿宋" w:cs="仿宋_GB2312"/>
          <w:color w:val="000000"/>
          <w:sz w:val="32"/>
          <w:szCs w:val="32"/>
        </w:rPr>
        <w:t>20年预算相比，收、支总计各增加14.18万元，上升1.46</w:t>
      </w:r>
      <w:r>
        <w:rPr>
          <w:rFonts w:ascii="仿宋" w:hAnsi="仿宋" w:eastAsia="仿宋" w:cs="仿宋_GB2312"/>
          <w:color w:val="000000"/>
          <w:sz w:val="32"/>
          <w:szCs w:val="32"/>
        </w:rPr>
        <w:t xml:space="preserve"> %</w:t>
      </w:r>
      <w:r>
        <w:rPr>
          <w:rFonts w:hint="eastAsia" w:ascii="仿宋" w:hAnsi="仿宋" w:eastAsia="仿宋" w:cs="仿宋_GB2312"/>
          <w:color w:val="000000"/>
          <w:sz w:val="32"/>
          <w:szCs w:val="32"/>
        </w:rPr>
        <w:t>。主要原因是人员增加</w:t>
      </w:r>
      <w:r>
        <w:rPr>
          <w:rFonts w:hint="eastAsia" w:ascii="仿宋" w:hAnsi="仿宋" w:eastAsia="仿宋" w:cs="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驻马店市医疗保障局</w:t>
      </w:r>
      <w:r>
        <w:rPr>
          <w:rFonts w:eastAsia="仿宋"/>
          <w:sz w:val="32"/>
          <w:szCs w:val="32"/>
        </w:rPr>
        <w:t>  </w:t>
      </w:r>
      <w:r>
        <w:rPr>
          <w:rFonts w:ascii="仿宋" w:hAnsi="仿宋" w:eastAsia="仿宋"/>
          <w:sz w:val="32"/>
          <w:szCs w:val="32"/>
        </w:rPr>
        <w:t>202</w:t>
      </w:r>
      <w:r>
        <w:rPr>
          <w:rFonts w:hint="eastAsia" w:ascii="仿宋" w:hAnsi="仿宋" w:eastAsia="仿宋"/>
          <w:sz w:val="32"/>
          <w:szCs w:val="32"/>
        </w:rPr>
        <w:t>1年收入合计985.68万元。其中：一般公共预算收入985.68万元。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驻马店市医疗保障局</w:t>
      </w:r>
      <w:r>
        <w:rPr>
          <w:rFonts w:ascii="仿宋" w:hAnsi="仿宋" w:eastAsia="仿宋"/>
          <w:sz w:val="32"/>
          <w:szCs w:val="32"/>
        </w:rPr>
        <w:t>202</w:t>
      </w:r>
      <w:r>
        <w:rPr>
          <w:rFonts w:hint="eastAsia" w:ascii="仿宋" w:hAnsi="仿宋" w:eastAsia="仿宋"/>
          <w:sz w:val="32"/>
          <w:szCs w:val="32"/>
        </w:rPr>
        <w:t>1年支出合计985.68万元，其中：基本支出837.95万元，占85.01</w:t>
      </w:r>
      <w:r>
        <w:rPr>
          <w:rFonts w:ascii="仿宋" w:hAnsi="仿宋" w:eastAsia="仿宋"/>
          <w:sz w:val="32"/>
          <w:szCs w:val="32"/>
        </w:rPr>
        <w:t>%</w:t>
      </w:r>
      <w:r>
        <w:rPr>
          <w:rFonts w:hint="eastAsia" w:ascii="仿宋" w:hAnsi="仿宋" w:eastAsia="仿宋"/>
          <w:sz w:val="32"/>
          <w:szCs w:val="32"/>
        </w:rPr>
        <w:t>；项目支出147.73万元，占14.99</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驻马店市医疗保障局</w:t>
      </w:r>
      <w:r>
        <w:rPr>
          <w:rFonts w:ascii="仿宋" w:hAnsi="仿宋" w:eastAsia="仿宋" w:cs="仿宋_GB2312"/>
          <w:sz w:val="32"/>
          <w:szCs w:val="32"/>
        </w:rPr>
        <w:t>202</w:t>
      </w:r>
      <w:r>
        <w:rPr>
          <w:rFonts w:hint="eastAsia" w:ascii="仿宋" w:hAnsi="仿宋" w:eastAsia="仿宋" w:cs="仿宋_GB2312"/>
          <w:sz w:val="32"/>
          <w:szCs w:val="32"/>
        </w:rPr>
        <w:t>1</w:t>
      </w:r>
      <w:r>
        <w:rPr>
          <w:rFonts w:hint="eastAsia" w:ascii="仿宋" w:hAnsi="仿宋" w:eastAsia="仿宋" w:cs="仿宋_GB2312"/>
          <w:color w:val="000000"/>
          <w:sz w:val="32"/>
          <w:szCs w:val="32"/>
        </w:rPr>
        <w:t>年一般公共预算收支预算985.68万元。</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20年相比，一般公共预算收支预算增加144.18万元，上升14.63</w:t>
      </w:r>
      <w:r>
        <w:rPr>
          <w:rFonts w:ascii="仿宋" w:hAnsi="仿宋" w:eastAsia="仿宋"/>
          <w:sz w:val="32"/>
          <w:szCs w:val="32"/>
        </w:rPr>
        <w:t>%</w:t>
      </w:r>
      <w:r>
        <w:rPr>
          <w:rFonts w:hint="eastAsia" w:ascii="仿宋" w:hAnsi="仿宋" w:eastAsia="仿宋"/>
          <w:sz w:val="32"/>
          <w:szCs w:val="32"/>
        </w:rPr>
        <w:t>。主要原因是人员增加。</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spacing w:line="600" w:lineRule="exact"/>
        <w:ind w:firstLine="640" w:firstLineChars="200"/>
        <w:jc w:val="left"/>
        <w:rPr>
          <w:rFonts w:ascii="仿宋" w:hAnsi="仿宋" w:eastAsia="仿宋" w:cs="Times New Roman"/>
          <w:color w:val="000000"/>
          <w:sz w:val="32"/>
          <w:szCs w:val="32"/>
        </w:rPr>
      </w:pPr>
      <w:r>
        <w:rPr>
          <w:rFonts w:hint="eastAsia" w:ascii="仿宋" w:hAnsi="仿宋" w:eastAsia="仿宋" w:cs="仿宋_GB2312"/>
          <w:color w:val="333333"/>
          <w:sz w:val="32"/>
          <w:szCs w:val="32"/>
        </w:rPr>
        <w:t>驻马店市医疗保障局</w:t>
      </w:r>
      <w:r>
        <w:rPr>
          <w:rFonts w:ascii="仿宋" w:hAnsi="仿宋" w:eastAsia="仿宋" w:cs="仿宋_GB2312"/>
          <w:color w:val="333333"/>
          <w:sz w:val="32"/>
          <w:szCs w:val="32"/>
        </w:rPr>
        <w:t>202</w:t>
      </w:r>
      <w:r>
        <w:rPr>
          <w:rFonts w:hint="eastAsia" w:ascii="仿宋" w:hAnsi="仿宋" w:eastAsia="仿宋" w:cs="仿宋_GB2312"/>
          <w:color w:val="333333"/>
          <w:sz w:val="32"/>
          <w:szCs w:val="32"/>
        </w:rPr>
        <w:t>1年一般公共预算支出年初预算为</w:t>
      </w:r>
      <w:r>
        <w:rPr>
          <w:rFonts w:hint="eastAsia" w:ascii="仿宋" w:hAnsi="仿宋" w:eastAsia="仿宋" w:cs="仿宋_GB2312"/>
          <w:color w:val="000000"/>
          <w:sz w:val="32"/>
          <w:szCs w:val="32"/>
        </w:rPr>
        <w:t>985.68万元。主要用于以下方面：一般公共服务（类）支出xxx万元，占xx</w:t>
      </w:r>
      <w:r>
        <w:rPr>
          <w:rFonts w:ascii="仿宋" w:hAnsi="仿宋" w:eastAsia="仿宋" w:cs="仿宋_GB2312"/>
          <w:color w:val="000000"/>
          <w:sz w:val="32"/>
          <w:szCs w:val="32"/>
        </w:rPr>
        <w:t>%</w:t>
      </w:r>
      <w:r>
        <w:rPr>
          <w:rFonts w:hint="eastAsia" w:ascii="仿宋" w:hAnsi="仿宋" w:eastAsia="仿宋" w:cs="仿宋_GB2312"/>
          <w:color w:val="000000"/>
          <w:sz w:val="32"/>
          <w:szCs w:val="32"/>
        </w:rPr>
        <w:t>；社会保障和就业支出81.99万元，占8.32</w:t>
      </w:r>
      <w:r>
        <w:rPr>
          <w:rFonts w:ascii="仿宋" w:hAnsi="仿宋" w:eastAsia="仿宋" w:cs="仿宋_GB2312"/>
          <w:color w:val="000000"/>
          <w:sz w:val="32"/>
          <w:szCs w:val="32"/>
        </w:rPr>
        <w:t>%</w:t>
      </w:r>
      <w:r>
        <w:rPr>
          <w:rFonts w:hint="eastAsia" w:ascii="仿宋" w:hAnsi="仿宋" w:eastAsia="仿宋" w:cs="仿宋_GB2312"/>
          <w:color w:val="000000"/>
          <w:sz w:val="32"/>
          <w:szCs w:val="32"/>
        </w:rPr>
        <w:t>；卫生健康支出865.29万元，占87.79</w:t>
      </w:r>
      <w:r>
        <w:rPr>
          <w:rFonts w:ascii="仿宋" w:hAnsi="仿宋" w:eastAsia="仿宋" w:cs="仿宋_GB2312"/>
          <w:color w:val="000000"/>
          <w:sz w:val="32"/>
          <w:szCs w:val="32"/>
        </w:rPr>
        <w:t>%</w:t>
      </w:r>
      <w:r>
        <w:rPr>
          <w:rFonts w:hint="eastAsia" w:ascii="仿宋" w:hAnsi="仿宋" w:eastAsia="仿宋" w:cs="仿宋_GB2312"/>
          <w:color w:val="000000"/>
          <w:sz w:val="32"/>
          <w:szCs w:val="32"/>
        </w:rPr>
        <w:t>；住房保障支出38.40万元，占3.89</w:t>
      </w:r>
      <w:r>
        <w:rPr>
          <w:rFonts w:ascii="仿宋" w:hAnsi="仿宋" w:eastAsia="仿宋" w:cs="仿宋_GB2312"/>
          <w:color w:val="000000"/>
          <w:sz w:val="32"/>
          <w:szCs w:val="32"/>
        </w:rPr>
        <w:t>%</w:t>
      </w:r>
      <w:r>
        <w:rPr>
          <w:rFonts w:hint="eastAsia" w:ascii="仿宋" w:hAnsi="仿宋" w:eastAsia="仿宋" w:cs="仿宋_GB2312"/>
          <w:color w:val="000000"/>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六、一般公共预算基本支出预算情况说明和支出预算经济分类情况说明</w:t>
      </w:r>
    </w:p>
    <w:p>
      <w:pPr>
        <w:spacing w:line="600" w:lineRule="exact"/>
        <w:ind w:firstLine="640" w:firstLineChars="200"/>
        <w:rPr>
          <w:rFonts w:ascii="黑体" w:hAnsi="黑体" w:eastAsia="黑体"/>
          <w:sz w:val="32"/>
          <w:szCs w:val="32"/>
        </w:rPr>
      </w:pPr>
      <w:r>
        <w:rPr>
          <w:rFonts w:hint="eastAsia" w:eastAsia="仿宋"/>
          <w:sz w:val="32"/>
          <w:szCs w:val="32"/>
        </w:rPr>
        <w:t> </w:t>
      </w:r>
      <w:r>
        <w:rPr>
          <w:rFonts w:hint="eastAsia" w:ascii="仿宋" w:hAnsi="仿宋" w:eastAsia="仿宋"/>
          <w:sz w:val="32"/>
          <w:szCs w:val="32"/>
        </w:rPr>
        <w:t>2021年一般公共预算基本支出837.95万元，其中：人员经费746.43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91.52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七、政府性基金预算支出</w:t>
      </w:r>
      <w:r>
        <w:rPr>
          <w:rFonts w:hint="eastAsia" w:ascii="黑体" w:hAnsi="黑体" w:eastAsia="黑体"/>
          <w:sz w:val="32"/>
          <w:szCs w:val="32"/>
          <w:lang w:eastAsia="zh-CN"/>
        </w:rPr>
        <w:t>预</w:t>
      </w:r>
      <w:r>
        <w:rPr>
          <w:rFonts w:hint="eastAsia" w:ascii="黑体" w:hAnsi="黑体" w:eastAsia="黑体"/>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ascii="仿宋" w:hAnsi="仿宋" w:eastAsia="仿宋"/>
          <w:sz w:val="32"/>
          <w:szCs w:val="32"/>
        </w:rPr>
        <w:t>202</w:t>
      </w:r>
      <w:r>
        <w:rPr>
          <w:rFonts w:hint="eastAsia" w:ascii="仿宋" w:hAnsi="仿宋" w:eastAsia="仿宋"/>
          <w:sz w:val="32"/>
          <w:szCs w:val="32"/>
        </w:rPr>
        <w:t>1年无使用政府性基金预算拨款安排的支出。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ascii="仿宋" w:hAnsi="仿宋" w:eastAsia="仿宋"/>
          <w:sz w:val="32"/>
          <w:szCs w:val="32"/>
        </w:rPr>
        <w:t>202</w:t>
      </w:r>
      <w:r>
        <w:rPr>
          <w:rFonts w:hint="eastAsia" w:ascii="仿宋" w:hAnsi="仿宋" w:eastAsia="仿宋"/>
          <w:sz w:val="32"/>
          <w:szCs w:val="32"/>
        </w:rPr>
        <w:t>1年“三公”经费预算为1万元。2021年“三公”经费支出预算数比</w:t>
      </w:r>
      <w:r>
        <w:rPr>
          <w:rFonts w:ascii="仿宋" w:hAnsi="仿宋" w:eastAsia="仿宋"/>
          <w:sz w:val="32"/>
          <w:szCs w:val="32"/>
        </w:rPr>
        <w:t>2</w:t>
      </w:r>
      <w:r>
        <w:rPr>
          <w:rFonts w:hint="eastAsia" w:ascii="仿宋" w:hAnsi="仿宋" w:eastAsia="仿宋"/>
          <w:sz w:val="32"/>
          <w:szCs w:val="32"/>
        </w:rPr>
        <w:t>020年减少0.55万元，下降了35.48</w:t>
      </w:r>
      <w:r>
        <w:rPr>
          <w:rFonts w:ascii="仿宋" w:hAnsi="仿宋" w:eastAsia="仿宋"/>
          <w:sz w:val="32"/>
          <w:szCs w:val="32"/>
        </w:rPr>
        <w:t>%</w:t>
      </w:r>
      <w:r>
        <w:rPr>
          <w:rFonts w:hint="eastAsia" w:ascii="仿宋" w:hAnsi="仿宋" w:eastAsia="仿宋"/>
          <w:sz w:val="32"/>
          <w:szCs w:val="32"/>
        </w:rPr>
        <w:t xml:space="preserve">。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具体支出情况如下：</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（一）因公出国</w:t>
      </w:r>
      <w:r>
        <w:rPr>
          <w:rFonts w:ascii="仿宋" w:hAnsi="仿宋" w:eastAsia="仿宋"/>
          <w:b/>
          <w:sz w:val="32"/>
          <w:szCs w:val="32"/>
        </w:rPr>
        <w:t>(</w:t>
      </w:r>
      <w:r>
        <w:rPr>
          <w:rFonts w:hint="eastAsia" w:ascii="仿宋" w:hAnsi="仿宋" w:eastAsia="仿宋"/>
          <w:b/>
          <w:sz w:val="32"/>
          <w:szCs w:val="32"/>
        </w:rPr>
        <w:t>境</w:t>
      </w:r>
      <w:r>
        <w:rPr>
          <w:rFonts w:ascii="仿宋" w:hAnsi="仿宋" w:eastAsia="仿宋"/>
          <w:b/>
          <w:sz w:val="32"/>
          <w:szCs w:val="32"/>
        </w:rPr>
        <w:t>)</w:t>
      </w:r>
      <w:r>
        <w:rPr>
          <w:rFonts w:hint="eastAsia" w:ascii="仿宋" w:hAnsi="仿宋" w:eastAsia="仿宋"/>
          <w:b/>
          <w:sz w:val="32"/>
          <w:szCs w:val="32"/>
        </w:rPr>
        <w:t>费</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主要用于单位工作人员公务出国（境）的住宿费、旅费、伙食补助费、杂费、培训费等支出。我局</w:t>
      </w:r>
      <w:r>
        <w:rPr>
          <w:rFonts w:ascii="仿宋" w:hAnsi="仿宋" w:eastAsia="仿宋"/>
          <w:sz w:val="32"/>
          <w:szCs w:val="32"/>
        </w:rPr>
        <w:t>202</w:t>
      </w:r>
      <w:r>
        <w:rPr>
          <w:rFonts w:hint="eastAsia" w:ascii="仿宋" w:hAnsi="仿宋" w:eastAsia="仿宋"/>
          <w:sz w:val="32"/>
          <w:szCs w:val="32"/>
        </w:rPr>
        <w:t>1年没有安排因公出国（境）费用的收入和支出预算。预算数与</w:t>
      </w:r>
      <w:r>
        <w:rPr>
          <w:rFonts w:ascii="仿宋" w:hAnsi="仿宋" w:eastAsia="仿宋"/>
          <w:sz w:val="32"/>
          <w:szCs w:val="32"/>
        </w:rPr>
        <w:t>20</w:t>
      </w:r>
      <w:r>
        <w:rPr>
          <w:rFonts w:hint="eastAsia" w:ascii="仿宋" w:hAnsi="仿宋" w:eastAsia="仿宋"/>
          <w:sz w:val="32"/>
          <w:szCs w:val="32"/>
        </w:rPr>
        <w:t>20年持平。</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（二）公务用车购置及运行费1万元</w:t>
      </w:r>
      <w:r>
        <w:rPr>
          <w:rFonts w:hint="eastAsia" w:ascii="仿宋" w:hAnsi="仿宋" w:eastAsia="仿宋"/>
          <w:sz w:val="32"/>
          <w:szCs w:val="32"/>
        </w:rPr>
        <w:t>，主要用于开展工作所需公务用车的燃料费、维修费、过路过桥费、保险费、安全奖励费用等支出。其中公务用车购置费预算</w:t>
      </w:r>
      <w:r>
        <w:rPr>
          <w:rFonts w:hint="eastAsia" w:ascii="仿宋" w:hAnsi="仿宋" w:eastAsia="仿宋"/>
          <w:sz w:val="32"/>
          <w:szCs w:val="32"/>
          <w:lang w:val="en-US" w:eastAsia="zh-CN"/>
        </w:rPr>
        <w:t>0</w:t>
      </w:r>
      <w:r>
        <w:rPr>
          <w:rFonts w:hint="eastAsia" w:ascii="仿宋" w:hAnsi="仿宋" w:eastAsia="仿宋"/>
          <w:sz w:val="32"/>
          <w:szCs w:val="32"/>
        </w:rPr>
        <w:t>万元</w:t>
      </w:r>
      <w:bookmarkStart w:id="0" w:name="_GoBack"/>
      <w:bookmarkEnd w:id="0"/>
      <w:r>
        <w:rPr>
          <w:rFonts w:hint="eastAsia" w:ascii="仿宋" w:hAnsi="仿宋" w:eastAsia="仿宋"/>
          <w:sz w:val="32"/>
          <w:szCs w:val="32"/>
          <w:lang w:eastAsia="zh-CN"/>
        </w:rPr>
        <w:t>，</w:t>
      </w:r>
      <w:r>
        <w:rPr>
          <w:rFonts w:hint="eastAsia" w:ascii="仿宋" w:hAnsi="仿宋" w:eastAsia="仿宋"/>
          <w:sz w:val="32"/>
          <w:szCs w:val="32"/>
        </w:rPr>
        <w:t>公务用车运行维护费预算为1万元，比</w:t>
      </w:r>
      <w:r>
        <w:rPr>
          <w:rFonts w:ascii="仿宋" w:hAnsi="仿宋" w:eastAsia="仿宋"/>
          <w:sz w:val="32"/>
          <w:szCs w:val="32"/>
        </w:rPr>
        <w:t>20</w:t>
      </w:r>
      <w:r>
        <w:rPr>
          <w:rFonts w:hint="eastAsia" w:ascii="仿宋" w:hAnsi="仿宋" w:eastAsia="仿宋"/>
          <w:sz w:val="32"/>
          <w:szCs w:val="32"/>
        </w:rPr>
        <w:t>20年减少0.55万元，下降了35.48</w:t>
      </w:r>
      <w:r>
        <w:rPr>
          <w:rFonts w:ascii="仿宋" w:hAnsi="仿宋" w:eastAsia="仿宋"/>
          <w:sz w:val="32"/>
          <w:szCs w:val="32"/>
        </w:rPr>
        <w:t>%</w:t>
      </w:r>
      <w:r>
        <w:rPr>
          <w:rFonts w:hint="eastAsia" w:ascii="仿宋" w:hAnsi="仿宋" w:eastAsia="仿宋"/>
          <w:sz w:val="32"/>
          <w:szCs w:val="32"/>
        </w:rPr>
        <w:t>，主要原因是厉行节约，缩减公务用车开支。</w:t>
      </w:r>
    </w:p>
    <w:p>
      <w:pPr>
        <w:spacing w:line="600" w:lineRule="exact"/>
        <w:ind w:firstLine="643" w:firstLineChars="200"/>
        <w:rPr>
          <w:rFonts w:ascii="仿宋" w:hAnsi="仿宋" w:eastAsia="仿宋" w:cs="Times New Roman"/>
          <w:sz w:val="32"/>
          <w:szCs w:val="32"/>
        </w:rPr>
      </w:pPr>
      <w:r>
        <w:rPr>
          <w:rFonts w:hint="eastAsia" w:ascii="仿宋" w:hAnsi="仿宋" w:eastAsia="仿宋"/>
          <w:b/>
          <w:sz w:val="32"/>
          <w:szCs w:val="32"/>
        </w:rPr>
        <w:t>（三）公务接待费</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主要用于按规定开支的各类公务接待支出。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（一）机关运行经费支出情况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驻马店市医疗保障局</w:t>
      </w:r>
      <w:r>
        <w:rPr>
          <w:rFonts w:ascii="仿宋" w:hAnsi="仿宋" w:eastAsia="仿宋"/>
          <w:sz w:val="32"/>
          <w:szCs w:val="32"/>
        </w:rPr>
        <w:t>202</w:t>
      </w:r>
      <w:r>
        <w:rPr>
          <w:rFonts w:hint="eastAsia" w:ascii="仿宋" w:hAnsi="仿宋" w:eastAsia="仿宋"/>
          <w:sz w:val="32"/>
          <w:szCs w:val="32"/>
        </w:rPr>
        <w:t>1年机关运行经费支出预算为757.57万元，主要保障机构正常运转及政策履职需要。</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rPr>
        <w:t>1年政府采购预算安排77.1万元，其中：政府采购货物预算13.4万元，政府采购服务预算63.7万元。</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（三）绩效目标设置情况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2021年预算项目均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（四）国有资产占用情况</w:t>
      </w:r>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20年期末，我局共有车辆0辆，其中：一般公务用车0辆、一般执法执勤用车0辆、其他用车0辆，其他用车主要是机要通信用车0辆、应急车辆0辆、老干部用车0辆；单价</w:t>
      </w:r>
      <w:r>
        <w:rPr>
          <w:rFonts w:ascii="仿宋" w:hAnsi="仿宋" w:eastAsia="仿宋"/>
          <w:sz w:val="32"/>
          <w:szCs w:val="32"/>
        </w:rPr>
        <w:t>50</w:t>
      </w:r>
      <w:r>
        <w:rPr>
          <w:rFonts w:hint="eastAsia" w:ascii="仿宋" w:hAnsi="仿宋" w:eastAsia="仿宋"/>
          <w:sz w:val="32"/>
          <w:szCs w:val="32"/>
        </w:rPr>
        <w:t>万元以上通用设备0套，单位价值</w:t>
      </w:r>
      <w:r>
        <w:rPr>
          <w:rFonts w:ascii="仿宋" w:hAnsi="仿宋" w:eastAsia="仿宋"/>
          <w:sz w:val="32"/>
          <w:szCs w:val="32"/>
        </w:rPr>
        <w:t>100</w:t>
      </w:r>
      <w:r>
        <w:rPr>
          <w:rFonts w:hint="eastAsia" w:ascii="仿宋" w:hAnsi="仿宋" w:eastAsia="仿宋"/>
          <w:sz w:val="32"/>
          <w:szCs w:val="32"/>
        </w:rPr>
        <w:t>万元以上专用设备0套。</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（五）专项转移支付项目情况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我局无负责参与管理的专项转移支付项目。</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r>
        <w:rPr>
          <w:rFonts w:ascii="仿宋" w:hAnsi="仿宋" w:eastAsia="仿宋" w:cs="仿宋_GB2312"/>
          <w:sz w:val="32"/>
          <w:szCs w:val="32"/>
        </w:rPr>
        <w:t xml:space="preserve"> </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600" w:lineRule="exact"/>
        <w:jc w:val="center"/>
        <w:rPr>
          <w:rFonts w:ascii="黑体" w:hAnsi="黑体" w:eastAsia="黑体" w:cs="Times New Roman"/>
          <w:sz w:val="32"/>
          <w:szCs w:val="32"/>
        </w:rPr>
      </w:pPr>
      <w:r>
        <w:rPr>
          <w:rFonts w:hint="eastAsia" w:ascii="黑体" w:hAnsi="黑体" w:eastAsia="黑体" w:cs="黑体"/>
          <w:sz w:val="32"/>
          <w:szCs w:val="32"/>
        </w:rPr>
        <w:t>驻马店市医疗保障局</w:t>
      </w:r>
      <w:r>
        <w:rPr>
          <w:rFonts w:ascii="黑体" w:hAnsi="黑体" w:eastAsia="黑体" w:cs="黑体"/>
          <w:sz w:val="32"/>
          <w:szCs w:val="32"/>
        </w:rPr>
        <w:t>20</w:t>
      </w:r>
      <w:r>
        <w:rPr>
          <w:rFonts w:hint="eastAsia" w:ascii="黑体" w:hAnsi="黑体" w:eastAsia="黑体" w:cs="黑体"/>
          <w:sz w:val="32"/>
          <w:szCs w:val="32"/>
        </w:rPr>
        <w:t>21年度部门预算表</w:t>
      </w:r>
    </w:p>
    <w:p>
      <w:pPr>
        <w:spacing w:line="600" w:lineRule="exact"/>
      </w:pP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DB6E0A"/>
    <w:rsid w:val="00024F6B"/>
    <w:rsid w:val="00046304"/>
    <w:rsid w:val="000638D2"/>
    <w:rsid w:val="00081A39"/>
    <w:rsid w:val="00082E97"/>
    <w:rsid w:val="00092293"/>
    <w:rsid w:val="000A57D3"/>
    <w:rsid w:val="000A793C"/>
    <w:rsid w:val="000B2C71"/>
    <w:rsid w:val="000D2EF0"/>
    <w:rsid w:val="000E1E98"/>
    <w:rsid w:val="000F00F0"/>
    <w:rsid w:val="000F07CF"/>
    <w:rsid w:val="00103B01"/>
    <w:rsid w:val="00130D39"/>
    <w:rsid w:val="00132510"/>
    <w:rsid w:val="00135319"/>
    <w:rsid w:val="00157DC9"/>
    <w:rsid w:val="00164490"/>
    <w:rsid w:val="0016485B"/>
    <w:rsid w:val="00174BB7"/>
    <w:rsid w:val="00197F39"/>
    <w:rsid w:val="001A4EF8"/>
    <w:rsid w:val="001B1083"/>
    <w:rsid w:val="001D3474"/>
    <w:rsid w:val="001F0097"/>
    <w:rsid w:val="001F0DC7"/>
    <w:rsid w:val="001F3EA8"/>
    <w:rsid w:val="00267A52"/>
    <w:rsid w:val="00277F07"/>
    <w:rsid w:val="00281F39"/>
    <w:rsid w:val="00282C62"/>
    <w:rsid w:val="002A5C59"/>
    <w:rsid w:val="002C63F2"/>
    <w:rsid w:val="00313C25"/>
    <w:rsid w:val="00321C62"/>
    <w:rsid w:val="00322205"/>
    <w:rsid w:val="00333034"/>
    <w:rsid w:val="00357CD3"/>
    <w:rsid w:val="0036405E"/>
    <w:rsid w:val="00380842"/>
    <w:rsid w:val="00394026"/>
    <w:rsid w:val="003B307C"/>
    <w:rsid w:val="003D2251"/>
    <w:rsid w:val="003D4DA1"/>
    <w:rsid w:val="003F281A"/>
    <w:rsid w:val="003F6FA5"/>
    <w:rsid w:val="00402A63"/>
    <w:rsid w:val="004059A2"/>
    <w:rsid w:val="00413874"/>
    <w:rsid w:val="0041494C"/>
    <w:rsid w:val="00425830"/>
    <w:rsid w:val="004402A9"/>
    <w:rsid w:val="00440E08"/>
    <w:rsid w:val="0044221E"/>
    <w:rsid w:val="00445854"/>
    <w:rsid w:val="004523F4"/>
    <w:rsid w:val="00475A3F"/>
    <w:rsid w:val="00485E69"/>
    <w:rsid w:val="00486CF5"/>
    <w:rsid w:val="00495029"/>
    <w:rsid w:val="004B1C7F"/>
    <w:rsid w:val="004B2AB1"/>
    <w:rsid w:val="004B5AC1"/>
    <w:rsid w:val="004D3E72"/>
    <w:rsid w:val="00517F70"/>
    <w:rsid w:val="00520079"/>
    <w:rsid w:val="00520C68"/>
    <w:rsid w:val="005458CE"/>
    <w:rsid w:val="00547FA8"/>
    <w:rsid w:val="005653F6"/>
    <w:rsid w:val="00574E19"/>
    <w:rsid w:val="00593ACE"/>
    <w:rsid w:val="00594B0A"/>
    <w:rsid w:val="005A7D02"/>
    <w:rsid w:val="005C73B8"/>
    <w:rsid w:val="00624C7A"/>
    <w:rsid w:val="006474BC"/>
    <w:rsid w:val="00655743"/>
    <w:rsid w:val="00660C03"/>
    <w:rsid w:val="00676BA6"/>
    <w:rsid w:val="00691D56"/>
    <w:rsid w:val="00697E78"/>
    <w:rsid w:val="006A220B"/>
    <w:rsid w:val="006B3606"/>
    <w:rsid w:val="006B3FE3"/>
    <w:rsid w:val="00700239"/>
    <w:rsid w:val="00700B9A"/>
    <w:rsid w:val="007136D4"/>
    <w:rsid w:val="00737C3B"/>
    <w:rsid w:val="00755247"/>
    <w:rsid w:val="0076118A"/>
    <w:rsid w:val="00791B9D"/>
    <w:rsid w:val="007922C8"/>
    <w:rsid w:val="007A040A"/>
    <w:rsid w:val="007A7283"/>
    <w:rsid w:val="007B4386"/>
    <w:rsid w:val="007D4A49"/>
    <w:rsid w:val="007D7A4A"/>
    <w:rsid w:val="007E0369"/>
    <w:rsid w:val="007E6EE0"/>
    <w:rsid w:val="00804982"/>
    <w:rsid w:val="008070BE"/>
    <w:rsid w:val="00832C34"/>
    <w:rsid w:val="0086203B"/>
    <w:rsid w:val="0087679C"/>
    <w:rsid w:val="008803FE"/>
    <w:rsid w:val="00882505"/>
    <w:rsid w:val="008A14DB"/>
    <w:rsid w:val="008A2A42"/>
    <w:rsid w:val="008B58F3"/>
    <w:rsid w:val="008B63CD"/>
    <w:rsid w:val="008C6D08"/>
    <w:rsid w:val="008D1B9C"/>
    <w:rsid w:val="008D5A65"/>
    <w:rsid w:val="008E3F60"/>
    <w:rsid w:val="008F0447"/>
    <w:rsid w:val="008F3BA6"/>
    <w:rsid w:val="00912829"/>
    <w:rsid w:val="00914D64"/>
    <w:rsid w:val="00926A33"/>
    <w:rsid w:val="009507BF"/>
    <w:rsid w:val="009574C3"/>
    <w:rsid w:val="00965F4F"/>
    <w:rsid w:val="00987F87"/>
    <w:rsid w:val="0099182F"/>
    <w:rsid w:val="009B17AE"/>
    <w:rsid w:val="009B1DCD"/>
    <w:rsid w:val="00A0087B"/>
    <w:rsid w:val="00A0547F"/>
    <w:rsid w:val="00A111CB"/>
    <w:rsid w:val="00A51477"/>
    <w:rsid w:val="00A6587F"/>
    <w:rsid w:val="00A75D9C"/>
    <w:rsid w:val="00A83E1B"/>
    <w:rsid w:val="00AA09FD"/>
    <w:rsid w:val="00AB26EC"/>
    <w:rsid w:val="00AE18EF"/>
    <w:rsid w:val="00B02CDE"/>
    <w:rsid w:val="00B16384"/>
    <w:rsid w:val="00B32090"/>
    <w:rsid w:val="00B35C03"/>
    <w:rsid w:val="00B60387"/>
    <w:rsid w:val="00B62A35"/>
    <w:rsid w:val="00B71283"/>
    <w:rsid w:val="00B8118B"/>
    <w:rsid w:val="00BB32E4"/>
    <w:rsid w:val="00BB5328"/>
    <w:rsid w:val="00BC25A8"/>
    <w:rsid w:val="00BC482D"/>
    <w:rsid w:val="00BF3E2E"/>
    <w:rsid w:val="00C05FD2"/>
    <w:rsid w:val="00C1216D"/>
    <w:rsid w:val="00C16BCC"/>
    <w:rsid w:val="00C24430"/>
    <w:rsid w:val="00C32353"/>
    <w:rsid w:val="00C324EE"/>
    <w:rsid w:val="00C46EC8"/>
    <w:rsid w:val="00C547E8"/>
    <w:rsid w:val="00C555BA"/>
    <w:rsid w:val="00C822B5"/>
    <w:rsid w:val="00C84D92"/>
    <w:rsid w:val="00C961DC"/>
    <w:rsid w:val="00C97DB5"/>
    <w:rsid w:val="00CB5205"/>
    <w:rsid w:val="00CC09A9"/>
    <w:rsid w:val="00CF06D4"/>
    <w:rsid w:val="00D06F40"/>
    <w:rsid w:val="00D1533C"/>
    <w:rsid w:val="00D1724E"/>
    <w:rsid w:val="00D263AD"/>
    <w:rsid w:val="00D32AF5"/>
    <w:rsid w:val="00D43271"/>
    <w:rsid w:val="00D66752"/>
    <w:rsid w:val="00DB6E0A"/>
    <w:rsid w:val="00DC2B51"/>
    <w:rsid w:val="00DD2FFD"/>
    <w:rsid w:val="00DD6237"/>
    <w:rsid w:val="00DD6651"/>
    <w:rsid w:val="00E16978"/>
    <w:rsid w:val="00E229C4"/>
    <w:rsid w:val="00E247EF"/>
    <w:rsid w:val="00E42482"/>
    <w:rsid w:val="00E42FC7"/>
    <w:rsid w:val="00E504A7"/>
    <w:rsid w:val="00E66C96"/>
    <w:rsid w:val="00E90CF6"/>
    <w:rsid w:val="00E95E4C"/>
    <w:rsid w:val="00E962BF"/>
    <w:rsid w:val="00EB1647"/>
    <w:rsid w:val="00ED0313"/>
    <w:rsid w:val="00EF00AC"/>
    <w:rsid w:val="00EF0A3A"/>
    <w:rsid w:val="00F26566"/>
    <w:rsid w:val="00F31989"/>
    <w:rsid w:val="00F3215C"/>
    <w:rsid w:val="00F32AF3"/>
    <w:rsid w:val="00F33AA2"/>
    <w:rsid w:val="00F372DE"/>
    <w:rsid w:val="00F43772"/>
    <w:rsid w:val="00F47160"/>
    <w:rsid w:val="00F471FF"/>
    <w:rsid w:val="00F71085"/>
    <w:rsid w:val="00F82CBC"/>
    <w:rsid w:val="00F846C0"/>
    <w:rsid w:val="00F87D66"/>
    <w:rsid w:val="00FA0F9B"/>
    <w:rsid w:val="00FA6BF0"/>
    <w:rsid w:val="00FB172E"/>
    <w:rsid w:val="00FB5612"/>
    <w:rsid w:val="00FC0622"/>
    <w:rsid w:val="00FC6DFC"/>
    <w:rsid w:val="00FD4CB7"/>
    <w:rsid w:val="1E5568BC"/>
    <w:rsid w:val="1EFB577C"/>
    <w:rsid w:val="34787E9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paragraph" w:styleId="9">
    <w:name w:val="List Paragraph"/>
    <w:basedOn w:val="1"/>
    <w:qFormat/>
    <w:uiPriority w:val="99"/>
    <w:pPr>
      <w:ind w:firstLine="420" w:firstLineChars="200"/>
    </w:pPr>
  </w:style>
  <w:style w:type="character" w:customStyle="1" w:styleId="10">
    <w:name w:val="批注框文本 Char"/>
    <w:basedOn w:val="7"/>
    <w:link w:val="2"/>
    <w:semiHidden/>
    <w:qFormat/>
    <w:locked/>
    <w:uiPriority w:val="99"/>
    <w:rPr>
      <w:sz w:val="2"/>
      <w:szCs w:val="2"/>
    </w:rPr>
  </w:style>
  <w:style w:type="character" w:customStyle="1" w:styleId="11">
    <w:name w:val="页眉 Char"/>
    <w:basedOn w:val="7"/>
    <w:link w:val="4"/>
    <w:semiHidden/>
    <w:qFormat/>
    <w:uiPriority w:val="99"/>
    <w:rPr>
      <w:rFonts w:cs="Calibri"/>
      <w:sz w:val="18"/>
      <w:szCs w:val="18"/>
    </w:rPr>
  </w:style>
  <w:style w:type="character" w:customStyle="1" w:styleId="12">
    <w:name w:val="页脚 Char"/>
    <w:basedOn w:val="7"/>
    <w:link w:val="3"/>
    <w:semiHidden/>
    <w:qFormat/>
    <w:uiPriority w:val="99"/>
    <w:rPr>
      <w:rFonts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735</Words>
  <Characters>4195</Characters>
  <Lines>34</Lines>
  <Paragraphs>9</Paragraphs>
  <TotalTime>0</TotalTime>
  <ScaleCrop>false</ScaleCrop>
  <LinksUpToDate>false</LinksUpToDate>
  <CharactersWithSpaces>4921</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2021-03-30T01:53:00Z</dcterms:created>
  <dc:creator>6102</dc:creator>
  <cp:lastModifiedBy>penny</cp:lastModifiedBy>
  <cp:lastPrinted>2018-03-22T04:03:00Z</cp:lastPrinted>
  <dcterms:modified xsi:type="dcterms:W3CDTF">2021-04-09T10:45:53Z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