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驻马店市市场监督管理局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驻马店市市场监督管理局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驻马店市市场监督管理局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驻马店市市场监督管理局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驻马店市市场监督管理局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驻马店市市场监督管理局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 w:cs="仿宋_GB2312"/>
          <w:snapToGrid w:val="0"/>
          <w:sz w:val="32"/>
          <w:szCs w:val="32"/>
        </w:rPr>
        <w:t>根据中共驻马店市委、驻马店市人民政府关于印发《驻马店市机构改革方案》的通知（驻发</w:t>
      </w:r>
      <w:r>
        <w:rPr>
          <w:rFonts w:hint="eastAsia" w:ascii="仿宋_GB2312" w:hAnsi="仿宋" w:eastAsia="仿宋_GB2312" w:cs="仿宋"/>
          <w:snapToGrid w:val="0"/>
          <w:sz w:val="32"/>
          <w:szCs w:val="32"/>
        </w:rPr>
        <w:t>〔2018〕23号</w:t>
      </w:r>
      <w:r>
        <w:rPr>
          <w:rFonts w:hint="eastAsia" w:ascii="仿宋_GB2312" w:hAnsi="仿宋" w:eastAsia="仿宋_GB2312" w:cs="仿宋_GB2312"/>
          <w:snapToGrid w:val="0"/>
          <w:sz w:val="32"/>
          <w:szCs w:val="32"/>
        </w:rPr>
        <w:t>）规定，组建驻马店市市场监督管理局。2019年1月29日，驻马店市市场监督管理局正式挂牌成立，为市政府组成部门，主要职责是：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(一)贯彻执行国家有关工商行政管理的法律、法规和规章、政策,负责全市市场监督管理和行政执法有关工作,拟订全市工商行政管理规范性文件,拟订有关政策和措施并组织实施。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　　(二)负责各类企业、农民专业合作社和从事经营活动的单位、个人及外国(地区)企业常驻代表机构等市场主体的登记注册并监督管理,依法查处取缔无照经营。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　　(三)承担促进市场公平竞争、依法规范和维护全市各类市场经营秩序的相关责任,负责监督管理有关市场交易行为。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　　(四)负责监督管理流通领域商品和服务质量,组织开展商品质量和有关服务领域消费维权工作,按分工查处假冒伪劣等违法行为,指导消费者咨询、投诉、举报受理、处理及网络体系建设等工作,保护经营者、消费者合法权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　　(五)依法查处不正当竞争、商业贿赂、贩私等经济违法行为；负责规范直销行为与打击传销活动，组织查处传销案件，依法监督管理直销企业和直销员及其直销活动。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　　(六)负责全市市场主体信用分类管理、信用信息公示和信用监督管理工作,依法承担企业年度报告信息公示和抽检检查结果公示等工作。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　　(七)负责监督管理网络市场经营秩序、网络商品交易及有关服务行为。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　　(八)负责商标管理工作,依法保护注册商标专用权,查处违反商标使用规定和侵犯注册商标专用权的行为,调解处理商标争议事宜。保护驰名商标、特殊标志、官方标志,负责河南省著名商标组织申报、驻马店市知名商标的认定和保护,拟订实施全市商标发展规划,实施商标战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　　(九)指导全市广告业发展,负责广告活动的监督管理和户外广告登记工作,负责依法组织查处广告违法案件。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　　(十)依法实施合同行政监督管理,负责管理动产抵押物登记,监督管理拍卖行为,依法查处合同违法行为。负责依法监督管理经纪人、经纪机构及经纪活动。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　　(十一)负责研究分析并依法发布市场主体登记注册管理信息、商标、广告相关信息等,为政府决策和社会公众提供信息服务。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(十二)负责全市私营企业、个体工商户经营行为的服务和监督管理。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5"/>
        <w:textAlignment w:val="auto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（十三）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坚持“抓质量、保安全、促发展、强质监”工作方针，继续实施质量强市和品牌带动两大战略，加强计量、标准、认证认可、检验检测等质量基础建设，以改革创新为动力，以服务发展为主线，以科技为支持，进一步提升保障质量安全和服务经济社会发展的能力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5"/>
        <w:textAlignment w:val="auto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（十四）</w:t>
      </w:r>
      <w:r>
        <w:rPr>
          <w:rStyle w:val="5"/>
          <w:rFonts w:hint="eastAsia" w:ascii="仿宋_GB2312" w:hAnsi="仿宋" w:eastAsia="仿宋_GB2312" w:cs="仿宋"/>
          <w:b w:val="0"/>
          <w:bCs/>
          <w:snapToGrid w:val="0"/>
          <w:sz w:val="32"/>
          <w:szCs w:val="32"/>
          <w:shd w:val="clear" w:color="auto" w:fill="FFFFFF"/>
        </w:rPr>
        <w:t>实施质量强市战略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，继续建立完善质量考核、质量奖励、质量责任机制，推动各级政府和有关部门落实质量责任目标。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5"/>
        <w:textAlignment w:val="auto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（十五）</w:t>
      </w:r>
      <w:r>
        <w:rPr>
          <w:rStyle w:val="5"/>
          <w:rFonts w:hint="eastAsia" w:ascii="仿宋_GB2312" w:hAnsi="仿宋" w:eastAsia="仿宋_GB2312" w:cs="仿宋"/>
          <w:b w:val="0"/>
          <w:bCs/>
          <w:snapToGrid w:val="0"/>
          <w:sz w:val="32"/>
          <w:szCs w:val="32"/>
          <w:shd w:val="clear" w:color="auto" w:fill="FFFFFF"/>
        </w:rPr>
        <w:t>实施品牌带动战略。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制定驻马店市十三五品牌培育发展规划，积极推动品牌培育创建工作。立足本地，培育自主品牌，着眼长远，引进外来品牌。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5"/>
        <w:textAlignment w:val="auto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（十六）</w:t>
      </w:r>
      <w:r>
        <w:rPr>
          <w:rStyle w:val="5"/>
          <w:rFonts w:hint="eastAsia" w:ascii="仿宋_GB2312" w:hAnsi="仿宋" w:eastAsia="仿宋_GB2312" w:cs="仿宋"/>
          <w:b w:val="0"/>
          <w:bCs/>
          <w:snapToGrid w:val="0"/>
          <w:sz w:val="32"/>
          <w:szCs w:val="32"/>
          <w:shd w:val="clear" w:color="auto" w:fill="FFFFFF"/>
        </w:rPr>
        <w:t>创建国家农业综合示范市。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完善并实施创建国家农业综合示范市的实施方案和工作细则，积极做好汇报协调工作。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5"/>
        <w:textAlignment w:val="auto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（十七）</w:t>
      </w:r>
      <w:r>
        <w:rPr>
          <w:rStyle w:val="5"/>
          <w:rFonts w:hint="eastAsia" w:ascii="仿宋_GB2312" w:hAnsi="仿宋" w:eastAsia="仿宋_GB2312" w:cs="仿宋"/>
          <w:b w:val="0"/>
          <w:bCs/>
          <w:snapToGrid w:val="0"/>
          <w:sz w:val="32"/>
          <w:szCs w:val="32"/>
          <w:shd w:val="clear" w:color="auto" w:fill="FFFFFF"/>
        </w:rPr>
        <w:t>加强检验检测技术服务平台建设。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进一步加快市综合检测基地建设进度，尽快开工，年内建成。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5"/>
        <w:textAlignment w:val="auto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（十八）</w:t>
      </w:r>
      <w:r>
        <w:rPr>
          <w:rStyle w:val="5"/>
          <w:rFonts w:hint="eastAsia" w:ascii="仿宋_GB2312" w:hAnsi="仿宋" w:eastAsia="仿宋_GB2312" w:cs="仿宋"/>
          <w:b w:val="0"/>
          <w:bCs/>
          <w:snapToGrid w:val="0"/>
          <w:sz w:val="32"/>
          <w:szCs w:val="32"/>
          <w:shd w:val="clear" w:color="auto" w:fill="FFFFFF"/>
        </w:rPr>
        <w:t>建立特种设备安全监察联动机制。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安全监察和检验机构加强特种设备安全监察信息数据的审核，做到实时更新完善。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5"/>
        <w:textAlignment w:val="auto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（十九）</w:t>
      </w:r>
      <w:r>
        <w:rPr>
          <w:rStyle w:val="5"/>
          <w:rFonts w:hint="eastAsia" w:ascii="仿宋_GB2312" w:hAnsi="仿宋" w:eastAsia="仿宋_GB2312" w:cs="仿宋"/>
          <w:b w:val="0"/>
          <w:bCs/>
          <w:snapToGrid w:val="0"/>
          <w:sz w:val="32"/>
          <w:szCs w:val="32"/>
          <w:shd w:val="clear" w:color="auto" w:fill="FFFFFF"/>
        </w:rPr>
        <w:t>建立产品质量执法联席会议制度。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质监、工商、工信、食药监、农业、畜牧、粮食等部门作为成员单位，建立产品质量执法联席会议制度，定期通报各部门产品质量违法行为的查处情况，协调对跨部门的产品质量违法行为的联合执法，对构成犯罪的移送司法机关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20"/>
        <w:textAlignment w:val="auto"/>
        <w:rPr>
          <w:rFonts w:hint="eastAsia" w:ascii="仿宋_GB2312" w:hAnsi="仿宋" w:eastAsia="仿宋_GB2312" w:cs="仿宋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二十）贯彻实施国家、省食品（含食品添加剂、保健食品，下同）安全、药品（含中药、民族药，下同）、医疗器械、化妆品监督管理法律、法规、规章和政策、规划，组织拟订相关规范性文件和政策规划并监督实施；推动建立落实食品药品安全企业主体责任、各级政府负总责的机制，建立食品药品重大信息直报制度并组织实施，着力防范区域性、系统性食品药品安全风险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70"/>
        <w:textAlignment w:val="auto"/>
        <w:rPr>
          <w:rFonts w:hint="eastAsia" w:ascii="仿宋_GB2312" w:hAnsi="仿宋" w:eastAsia="仿宋_GB2312" w:cs="仿宋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二十一）依法组织实施食品行政许可和质量安全监督管理。建立食品安全隐患排查治理机制，制定全市食品安全检查年度计划、重大整顿治理方案并组织落实；建立并组织实施食品安全信息统一发布制度；参与制定食品安全风险监测计划，执行食品安全标准，根据食品安全风险监测计划参与食品安全风险监测工作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70"/>
        <w:textAlignment w:val="auto"/>
        <w:rPr>
          <w:rFonts w:hint="eastAsia" w:ascii="仿宋_GB2312" w:hAnsi="仿宋" w:eastAsia="仿宋_GB2312" w:cs="仿宋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二十二）依法组织实施药品、医疗器械有关行政许可，监督实施国家药典等药品和医疗器械标准及分类管理制度。负责药品和医疗器械研制、生产、经营、使用质量安全监管；建立药品和化妆品不良反应、医疗器械不良事件监测体系并开展监测和处置工作。配合实施国家基本药物制度；监督实施中药饮片炮制规范；组织实施化妆品的监督管理；落实执业药师资格准入制度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70"/>
        <w:textAlignment w:val="auto"/>
        <w:rPr>
          <w:rFonts w:hint="eastAsia" w:ascii="仿宋_GB2312" w:hAnsi="仿宋" w:eastAsia="仿宋_GB2312" w:cs="仿宋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（二十三）负责制定食品、药品、医疗器械、化妆品监督管理的稽查制度并组织实施，组织查处重大违法行为。组织实施问题产品召回和处置制度。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70"/>
        <w:textAlignment w:val="auto"/>
        <w:rPr>
          <w:rFonts w:hint="eastAsia" w:ascii="仿宋_GB2312" w:hAnsi="仿宋" w:eastAsia="仿宋_GB2312" w:cs="仿宋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（二十四）负责食品药品安全事故应急体系建设，组织、指导食品药品安全事故应急处置和调查处理工作，监督事故查处落实情况。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70"/>
        <w:textAlignment w:val="auto"/>
        <w:rPr>
          <w:rFonts w:hint="eastAsia" w:ascii="仿宋_GB2312" w:hAnsi="仿宋" w:eastAsia="仿宋_GB2312" w:cs="仿宋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（二十五）负责制定全市食品药品安全科技发展规划并组织实施，推动食品药品检验检测体系、电子监管追溯体系和信息化建设。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70"/>
        <w:textAlignment w:val="auto"/>
        <w:rPr>
          <w:rFonts w:hint="eastAsia" w:ascii="仿宋_GB2312" w:hAnsi="仿宋" w:eastAsia="仿宋_GB2312" w:cs="仿宋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（二十六）负责开展食品药品安全宣传、教育培训、交流与合作；推进诚信体系建设。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70"/>
        <w:textAlignment w:val="auto"/>
        <w:rPr>
          <w:rFonts w:hint="eastAsia" w:ascii="仿宋_GB2312" w:hAnsi="仿宋" w:eastAsia="仿宋_GB2312" w:cs="仿宋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（二十七）分析掌握食品、药品、医疗器械、化妆品安全形势和存在问题，提出完善制度机制和改进工作的建议；指导县级食品药品监督管理工作。规范行政执法行为，完善行政执法与刑事司法衔接机制。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70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（二十八）承担市食品安全委员会日常工作。负责食品安全监督综合协调，推动健全协调联动机制；督促检查县级政府履行食品安全监督管理职责并负责考核评价。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　　(二十九)承办市政府交办的其他事项。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驻马店市市场监督管理局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" w:hAnsi="楷体" w:eastAsia="楷体" w:cs="楷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highlight w:val="none"/>
          <w:lang w:val="en-US" w:eastAsia="zh-CN"/>
        </w:rPr>
        <w:t>单位机构设置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驻马店市市场监督管理局内设机构33个，包括：办公室、综合规划科、政策法规科、行政审批服务科、登记注册指导科、信用监督管理科、价格监督检查科、反不正当竞争科、网络交易监督管理科、非公经济促进科、广告监督管理科、质量发展科、产品质量安全监督管理科、食品安全协调科、</w:t>
      </w:r>
      <w:r>
        <w:rPr>
          <w:rFonts w:hint="eastAsia" w:ascii="仿宋" w:hAnsi="仿宋" w:eastAsia="仿宋" w:cs="仿宋"/>
          <w:sz w:val="32"/>
          <w:szCs w:val="32"/>
        </w:rPr>
        <w:t>食品生产监督管理科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食品流通监督管理科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餐饮食品监督管理科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</w:rPr>
        <w:t>食品安全抽检监测科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药品监督管理科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医疗器械监督管理科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化妆品监督管理科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药化器械安全抽检科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特种设备安全监察科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计量科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标准化科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认证监督管理科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检验检测监督管理科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知识产权促进科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知识产权保护科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人事科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科技和财务科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离退休干部工作科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机关党委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snapToGrid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napToGrid w:val="0"/>
          <w:sz w:val="32"/>
          <w:szCs w:val="32"/>
          <w:lang w:eastAsia="zh-CN"/>
        </w:rPr>
        <w:t>（二）部门预算单位构成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napToGrid w:val="0"/>
          <w:sz w:val="32"/>
          <w:szCs w:val="32"/>
        </w:rPr>
        <w:t>驻马店市市场监督管理局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 xml:space="preserve">    </w:t>
      </w:r>
      <w:r>
        <w:rPr>
          <w:rFonts w:hint="eastAsia" w:ascii="仿宋_GB2312" w:eastAsia="仿宋_GB2312"/>
          <w:snapToGrid w:val="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napToGrid w:val="0"/>
          <w:sz w:val="32"/>
          <w:szCs w:val="32"/>
        </w:rPr>
        <w:t>驻马店市工商行政管理局经济检查支队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 xml:space="preserve">    </w:t>
      </w:r>
      <w:r>
        <w:rPr>
          <w:rFonts w:hint="eastAsia" w:ascii="仿宋_GB2312" w:eastAsia="仿宋_GB2312"/>
          <w:snapToGrid w:val="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napToGrid w:val="0"/>
          <w:sz w:val="32"/>
          <w:szCs w:val="32"/>
        </w:rPr>
        <w:t>驻马店市工商行政管理局驿城分局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 xml:space="preserve">    </w:t>
      </w:r>
      <w:r>
        <w:rPr>
          <w:rFonts w:hint="eastAsia" w:ascii="仿宋_GB2312" w:eastAsia="仿宋_GB2312"/>
          <w:snapToGrid w:val="0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napToGrid w:val="0"/>
          <w:sz w:val="32"/>
          <w:szCs w:val="32"/>
        </w:rPr>
        <w:t>驻马店市工商行政管理局专业分局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 xml:space="preserve">    </w:t>
      </w:r>
      <w:r>
        <w:rPr>
          <w:rFonts w:hint="eastAsia" w:ascii="仿宋_GB2312" w:eastAsia="仿宋_GB2312"/>
          <w:snapToGrid w:val="0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napToGrid w:val="0"/>
          <w:sz w:val="32"/>
          <w:szCs w:val="32"/>
        </w:rPr>
        <w:t>驻马店市工商行政管理局开发分局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 xml:space="preserve">    </w:t>
      </w:r>
      <w:r>
        <w:rPr>
          <w:rFonts w:hint="eastAsia" w:ascii="仿宋_GB2312" w:eastAsia="仿宋_GB2312"/>
          <w:snapToGrid w:val="0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napToGrid w:val="0"/>
          <w:sz w:val="32"/>
          <w:szCs w:val="32"/>
        </w:rPr>
        <w:t>驻马店市消费者协会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 xml:space="preserve">    </w:t>
      </w:r>
      <w:r>
        <w:rPr>
          <w:rFonts w:hint="eastAsia" w:ascii="仿宋_GB2312" w:eastAsia="仿宋_GB2312"/>
          <w:snapToGrid w:val="0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napToGrid w:val="0"/>
          <w:sz w:val="32"/>
          <w:szCs w:val="32"/>
        </w:rPr>
        <w:t>驻马店市工商行政管理局信息中心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 xml:space="preserve">    </w:t>
      </w:r>
      <w:r>
        <w:rPr>
          <w:rFonts w:hint="eastAsia" w:ascii="仿宋_GB2312" w:eastAsia="仿宋_GB2312"/>
          <w:snapToGrid w:val="0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snapToGrid w:val="0"/>
          <w:sz w:val="32"/>
          <w:szCs w:val="32"/>
        </w:rPr>
        <w:t>驻马店市个体私营经济协会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5"/>
        <w:jc w:val="both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  <w:lang w:val="en-US" w:eastAsia="zh-CN"/>
        </w:rPr>
        <w:t>9.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驻马店市质量技术监督局稽查支队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5"/>
        <w:jc w:val="both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  <w:lang w:val="en-US" w:eastAsia="zh-CN"/>
        </w:rPr>
        <w:t>10.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驻马店市质量技术监督检验测试中心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5"/>
        <w:jc w:val="both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  <w:lang w:val="en-US" w:eastAsia="zh-CN"/>
        </w:rPr>
        <w:t>11.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驻马店市纤维检验所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5"/>
        <w:jc w:val="both"/>
        <w:textAlignment w:val="auto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  <w:lang w:val="en-US" w:eastAsia="zh-CN"/>
        </w:rPr>
        <w:t>12.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驻马店市质量技术监督局驿城区分局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5"/>
        <w:jc w:val="both"/>
        <w:textAlignment w:val="auto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  <w:lang w:val="en-US" w:eastAsia="zh-CN"/>
        </w:rPr>
        <w:t>13.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驻马店市质量技术监督局经济开发区分局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仿宋_GB2312" w:hAnsi="仿宋" w:eastAsia="仿宋_GB2312" w:cs="仿宋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  <w:lang w:val="en-US" w:eastAsia="zh-CN"/>
        </w:rPr>
        <w:t>14.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驻马店市食品药品检验所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仿宋_GB2312" w:hAnsi="仿宋" w:eastAsia="仿宋_GB2312" w:cs="仿宋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  <w:lang w:val="en-US" w:eastAsia="zh-CN"/>
        </w:rPr>
        <w:t>15.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驻马店市食品药品监督管理局经济开发区分局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  <w:lang w:val="en-US" w:eastAsia="zh-CN"/>
        </w:rPr>
        <w:t>16.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驻马店市食品药品监督管理局经济开发区分局所属事业单位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  <w:lang w:val="en-US" w:eastAsia="zh-CN"/>
        </w:rPr>
        <w:t>17.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驻马店市盐业执法支队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  <w:lang w:val="en-US" w:eastAsia="zh-CN"/>
        </w:rPr>
        <w:t>18.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驻马店市商务稽查支队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  <w:lang w:val="en-US" w:eastAsia="zh-CN"/>
        </w:rPr>
        <w:t>19.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驻马店市物价检查所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  <w:lang w:val="en-US" w:eastAsia="zh-CN"/>
        </w:rPr>
        <w:t>20.</w:t>
      </w:r>
      <w:r>
        <w:rPr>
          <w:rFonts w:hint="eastAsia" w:ascii="仿宋_GB2312" w:hAnsi="仿宋" w:eastAsia="仿宋_GB2312" w:cs="仿宋"/>
          <w:snapToGrid w:val="0"/>
          <w:sz w:val="32"/>
          <w:szCs w:val="32"/>
          <w:shd w:val="clear" w:color="auto" w:fill="FFFFFF"/>
        </w:rPr>
        <w:t>驻马店市知识产权维护中心</w:t>
      </w:r>
    </w:p>
    <w:p>
      <w:pPr>
        <w:widowControl/>
        <w:spacing w:line="600" w:lineRule="exact"/>
        <w:ind w:firstLine="480"/>
        <w:rPr>
          <w:rFonts w:ascii="华文仿宋" w:hAnsi="华文仿宋" w:eastAsia="华文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驻马店市市场监督管理局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驻马店市市场监督管理局</w:t>
      </w:r>
      <w:r>
        <w:rPr>
          <w:rFonts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17138.61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17138.61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28.8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0.17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是</w:t>
      </w:r>
      <w:r>
        <w:rPr>
          <w:rFonts w:hint="eastAsia" w:ascii="仿宋_GB2312" w:hAnsi="宋体" w:eastAsia="仿宋_GB2312" w:cs="Courier New"/>
          <w:snapToGrid w:val="0"/>
          <w:sz w:val="32"/>
          <w:szCs w:val="32"/>
        </w:rPr>
        <w:t>正常增人增资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驻马店市市场监督管理局</w:t>
      </w:r>
      <w:r>
        <w:rPr>
          <w:rFonts w:eastAsia="仿宋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17138.61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16657.11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驻马店市市场监督管理局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17138.61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13466.93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78.58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3671.68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21.42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驻马店市市场监督管理局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16657.11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年相比，一般公共预算收支预算减少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263.3</w:t>
      </w:r>
      <w:r>
        <w:rPr>
          <w:rFonts w:hint="eastAsia" w:ascii="仿宋" w:hAnsi="仿宋" w:eastAsia="仿宋"/>
          <w:sz w:val="32"/>
          <w:szCs w:val="32"/>
        </w:rPr>
        <w:t>万元，下降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1.56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/>
          <w:sz w:val="32"/>
          <w:szCs w:val="32"/>
          <w:lang w:eastAsia="zh-CN"/>
        </w:rPr>
        <w:t>严格执行八项规定，压缩项目经费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驻马店市市场监督管理局</w:t>
      </w:r>
      <w:r>
        <w:rPr>
          <w:rFonts w:ascii="仿宋" w:hAnsi="仿宋" w:eastAsia="仿宋" w:cs="仿宋_GB2312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16657.11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13054.02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78.37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2301.66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13.82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756.96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4.54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544.47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3.27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13466.93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12365.85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1101.08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269.63</w:t>
      </w:r>
      <w:r>
        <w:rPr>
          <w:rFonts w:hint="eastAsia" w:ascii="仿宋" w:hAnsi="仿宋" w:eastAsia="仿宋"/>
          <w:sz w:val="32"/>
          <w:szCs w:val="32"/>
        </w:rPr>
        <w:t>万元。202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22.94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7.84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年持平。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232.3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2020年无变化。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232.3万元，</w:t>
      </w:r>
      <w:r>
        <w:rPr>
          <w:rFonts w:hint="eastAsia" w:ascii="仿宋" w:hAnsi="仿宋" w:eastAsia="仿宋"/>
          <w:sz w:val="32"/>
          <w:szCs w:val="32"/>
        </w:rPr>
        <w:t>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26.27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10.16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，主要原因是</w:t>
      </w:r>
      <w:r>
        <w:rPr>
          <w:rFonts w:hint="eastAsia" w:ascii="仿宋" w:hAnsi="仿宋" w:eastAsia="仿宋"/>
          <w:sz w:val="32"/>
          <w:szCs w:val="32"/>
          <w:lang w:eastAsia="zh-CN"/>
        </w:rPr>
        <w:t>严格执行八项规定，压缩经费支出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37.33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3.33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eastAsia="zh-CN"/>
        </w:rPr>
        <w:t>上升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9.79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主要原因是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2020年支出结转到下年支付，我局将会</w:t>
      </w:r>
      <w:r>
        <w:rPr>
          <w:rFonts w:hint="eastAsia" w:ascii="仿宋_GB2312" w:eastAsia="仿宋_GB2312"/>
          <w:snapToGrid w:val="0"/>
          <w:sz w:val="32"/>
          <w:szCs w:val="32"/>
        </w:rPr>
        <w:t>严格执行《党政机关国内公务接待管理规定》等办法，不断规范公务接待管理，严格接待审批控制，厉行勤俭节约，不断压缩公务接待费支出。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驻马店市市场监督管理局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3056.71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2634.05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955.71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1592.54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政府采购</w:t>
      </w:r>
      <w:r>
        <w:rPr>
          <w:rFonts w:hint="eastAsia" w:ascii="仿宋" w:hAnsi="仿宋" w:eastAsia="仿宋"/>
          <w:sz w:val="32"/>
          <w:szCs w:val="32"/>
          <w:lang w:eastAsia="zh-CN"/>
        </w:rPr>
        <w:t>工程</w:t>
      </w:r>
      <w:r>
        <w:rPr>
          <w:rFonts w:hint="eastAsia" w:ascii="仿宋" w:hAnsi="仿宋" w:eastAsia="仿宋"/>
          <w:sz w:val="32"/>
          <w:szCs w:val="32"/>
        </w:rPr>
        <w:t>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85.8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年期末，我局共有车辆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115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54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辆</w:t>
      </w:r>
      <w:r>
        <w:rPr>
          <w:rFonts w:hint="eastAsia" w:ascii="仿宋" w:hAnsi="仿宋" w:eastAsia="仿宋"/>
          <w:sz w:val="32"/>
          <w:szCs w:val="32"/>
          <w:lang w:eastAsia="zh-CN"/>
        </w:rPr>
        <w:t>、其他用车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39辆</w:t>
      </w:r>
      <w:r>
        <w:rPr>
          <w:rFonts w:hint="eastAsia" w:ascii="仿宋" w:hAnsi="仿宋" w:eastAsia="仿宋"/>
          <w:sz w:val="32"/>
          <w:szCs w:val="32"/>
        </w:rPr>
        <w:t>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我局负责参与管理的专项转移支付项目</w:t>
      </w:r>
      <w:r>
        <w:rPr>
          <w:rFonts w:hint="eastAsia" w:ascii="仿宋" w:hAnsi="仿宋" w:eastAsia="仿宋"/>
          <w:sz w:val="32"/>
          <w:szCs w:val="32"/>
          <w:lang w:eastAsia="zh-CN"/>
        </w:rPr>
        <w:t>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3项，主要包括：提前下达2021年省级-药品综合监管专项经费15.8万元；提前下达2021年中央补助-药品监管资金61万元；提前下达省级药品综合监管专项资金27.7万元，共计131.5万元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_GB2312" w:hAnsi="宋体" w:eastAsia="仿宋_GB2312" w:cs="Courier New"/>
          <w:sz w:val="32"/>
          <w:szCs w:val="32"/>
        </w:rPr>
        <w:t>我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 w:cs="Courier New"/>
          <w:sz w:val="32"/>
          <w:szCs w:val="32"/>
        </w:rPr>
        <w:t>将按照《预算法》等规定和预算管理制度改革有关精神，积极做好项目分配前期准备工作，在规定的时间内向财政部门提出资金分配意见，根据有关要求做好项目申报公开等相关工作。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both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市场监督管理局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</w:pPr>
    </w:p>
    <w:p/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30BE"/>
    <w:multiLevelType w:val="singleLevel"/>
    <w:tmpl w:val="6DFB30B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7601D"/>
    <w:rsid w:val="0C882415"/>
    <w:rsid w:val="0D9D0091"/>
    <w:rsid w:val="0F9B3F80"/>
    <w:rsid w:val="191210EA"/>
    <w:rsid w:val="1F8F3AFB"/>
    <w:rsid w:val="201946EF"/>
    <w:rsid w:val="232C692B"/>
    <w:rsid w:val="241B3B65"/>
    <w:rsid w:val="279E7F1D"/>
    <w:rsid w:val="339E33F6"/>
    <w:rsid w:val="36484A53"/>
    <w:rsid w:val="3A1A202B"/>
    <w:rsid w:val="3E1C620A"/>
    <w:rsid w:val="4473129C"/>
    <w:rsid w:val="47047611"/>
    <w:rsid w:val="57FA0E42"/>
    <w:rsid w:val="5F67601D"/>
    <w:rsid w:val="64F95113"/>
    <w:rsid w:val="6967761C"/>
    <w:rsid w:val="6C5D197D"/>
    <w:rsid w:val="6EE3439A"/>
    <w:rsid w:val="74893505"/>
    <w:rsid w:val="782C016D"/>
    <w:rsid w:val="7DD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2021-03-24T01:33:00Z</dcterms:created>
  <dc:creator>尚夏</dc:creator>
  <cp:lastModifiedBy>penny</cp:lastModifiedBy>
  <dcterms:modified xsi:type="dcterms:W3CDTF">2021-04-07T02:34:10Z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