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heme="majorEastAsia" w:hAnsiTheme="majorEastAsia" w:eastAsiaTheme="majorEastAsia"/>
          <w:b/>
          <w:sz w:val="44"/>
          <w:szCs w:val="44"/>
        </w:rPr>
      </w:pPr>
    </w:p>
    <w:p>
      <w:pPr>
        <w:spacing w:line="600" w:lineRule="exact"/>
        <w:jc w:val="center"/>
        <w:rPr>
          <w:rFonts w:asciiTheme="majorEastAsia" w:hAnsiTheme="majorEastAsia" w:eastAsiaTheme="majorEastAsia"/>
          <w:b/>
          <w:sz w:val="44"/>
          <w:szCs w:val="44"/>
        </w:rPr>
      </w:pPr>
      <w:r>
        <w:rPr>
          <w:rFonts w:asciiTheme="majorEastAsia" w:hAnsiTheme="majorEastAsia" w:eastAsiaTheme="majorEastAsia"/>
          <w:b/>
          <w:sz w:val="44"/>
          <w:szCs w:val="44"/>
        </w:rPr>
        <w:t>20</w:t>
      </w:r>
      <w:r>
        <w:rPr>
          <w:rFonts w:hint="eastAsia" w:asciiTheme="majorEastAsia" w:hAnsiTheme="majorEastAsia" w:eastAsiaTheme="majorEastAsia"/>
          <w:b/>
          <w:sz w:val="44"/>
          <w:szCs w:val="44"/>
        </w:rPr>
        <w:t>21年驻马店市财政局部门预算说明</w:t>
      </w:r>
    </w:p>
    <w:p>
      <w:pPr>
        <w:widowControl/>
        <w:spacing w:line="600" w:lineRule="exact"/>
        <w:ind w:firstLine="480"/>
        <w:jc w:val="center"/>
        <w:rPr>
          <w:rFonts w:ascii="仿宋" w:hAnsi="仿宋" w:eastAsia="仿宋" w:cs="Times New Roman"/>
          <w:b/>
          <w:bCs/>
          <w:kern w:val="0"/>
          <w:sz w:val="32"/>
          <w:szCs w:val="32"/>
        </w:rPr>
      </w:pPr>
    </w:p>
    <w:p>
      <w:pPr>
        <w:widowControl/>
        <w:spacing w:line="600" w:lineRule="exact"/>
        <w:ind w:firstLine="480"/>
        <w:jc w:val="center"/>
        <w:rPr>
          <w:rFonts w:ascii="宋体" w:cs="Times New Roman"/>
          <w:b/>
          <w:bCs/>
          <w:kern w:val="0"/>
          <w:sz w:val="52"/>
          <w:szCs w:val="52"/>
        </w:rPr>
      </w:pPr>
      <w:r>
        <w:rPr>
          <w:rFonts w:hint="eastAsia" w:ascii="宋体" w:hAnsi="宋体" w:cs="宋体"/>
          <w:b/>
          <w:bCs/>
          <w:kern w:val="0"/>
          <w:sz w:val="52"/>
          <w:szCs w:val="52"/>
        </w:rPr>
        <w:t>目录</w:t>
      </w:r>
    </w:p>
    <w:p>
      <w:pPr>
        <w:widowControl/>
        <w:spacing w:line="600" w:lineRule="exact"/>
        <w:ind w:firstLine="627" w:firstLineChars="196"/>
        <w:rPr>
          <w:rFonts w:ascii="黑体" w:hAnsi="黑体" w:eastAsia="黑体" w:cs="Times New Roman"/>
          <w:kern w:val="0"/>
          <w:sz w:val="32"/>
          <w:szCs w:val="32"/>
        </w:rPr>
      </w:pPr>
      <w:r>
        <w:rPr>
          <w:rFonts w:hint="eastAsia" w:ascii="黑体" w:hAnsi="黑体" w:eastAsia="黑体" w:cs="黑体"/>
          <w:kern w:val="0"/>
          <w:sz w:val="32"/>
          <w:szCs w:val="32"/>
        </w:rPr>
        <w:t>第一部分驻马店市财政局概况</w:t>
      </w:r>
    </w:p>
    <w:p>
      <w:pPr>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一、主要职能</w:t>
      </w:r>
    </w:p>
    <w:p>
      <w:pPr>
        <w:spacing w:line="600" w:lineRule="exact"/>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二、机构设置及预算单位构成</w:t>
      </w:r>
    </w:p>
    <w:p>
      <w:pPr>
        <w:spacing w:line="600" w:lineRule="exact"/>
        <w:ind w:firstLine="640" w:firstLineChars="200"/>
        <w:rPr>
          <w:rFonts w:ascii="仿宋" w:hAnsi="仿宋" w:eastAsia="仿宋" w:cs="Times New Roman"/>
          <w:kern w:val="0"/>
          <w:sz w:val="32"/>
          <w:szCs w:val="32"/>
        </w:rPr>
      </w:pPr>
    </w:p>
    <w:p>
      <w:pPr>
        <w:widowControl/>
        <w:spacing w:line="60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第二部分驻马店市财政局</w:t>
      </w:r>
      <w:r>
        <w:rPr>
          <w:rFonts w:ascii="黑体" w:hAnsi="黑体" w:eastAsia="黑体" w:cs="黑体"/>
          <w:kern w:val="0"/>
          <w:sz w:val="32"/>
          <w:szCs w:val="32"/>
        </w:rPr>
        <w:t>20</w:t>
      </w:r>
      <w:r>
        <w:rPr>
          <w:rFonts w:hint="eastAsia" w:ascii="黑体" w:hAnsi="黑体" w:eastAsia="黑体" w:cs="黑体"/>
          <w:kern w:val="0"/>
          <w:sz w:val="32"/>
          <w:szCs w:val="32"/>
        </w:rPr>
        <w:t>20年度部门预算情况说明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一、收入支出预算总体情况说明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二、收入预算总体情况说明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三、支出预算总体情况说明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四、财政拨款收入支出预算总体情况说明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五、一般公共预算支出预算情况说明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六、一般公共预算基本支出预算情况说明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七、政府性基金预算支出</w:t>
      </w:r>
      <w:r>
        <w:rPr>
          <w:rFonts w:hint="eastAsia" w:ascii="仿宋" w:hAnsi="仿宋" w:eastAsia="仿宋"/>
          <w:sz w:val="32"/>
          <w:szCs w:val="32"/>
          <w:lang w:eastAsia="zh-CN"/>
        </w:rPr>
        <w:t>预</w:t>
      </w:r>
      <w:r>
        <w:rPr>
          <w:rFonts w:hint="eastAsia" w:ascii="仿宋" w:hAnsi="仿宋" w:eastAsia="仿宋"/>
          <w:sz w:val="32"/>
          <w:szCs w:val="32"/>
        </w:rPr>
        <w:t>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八、“三公”经费支出预算情况说明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九、其他重要事项的情况说明</w:t>
      </w:r>
    </w:p>
    <w:p>
      <w:pPr>
        <w:widowControl/>
        <w:spacing w:line="60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第三部分名词解释</w:t>
      </w:r>
    </w:p>
    <w:p>
      <w:pPr>
        <w:widowControl/>
        <w:spacing w:line="60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附件：驻马店市财政局</w:t>
      </w:r>
      <w:r>
        <w:rPr>
          <w:rFonts w:ascii="黑体" w:hAnsi="黑体" w:eastAsia="黑体" w:cs="黑体"/>
          <w:kern w:val="0"/>
          <w:sz w:val="32"/>
          <w:szCs w:val="32"/>
        </w:rPr>
        <w:t>20</w:t>
      </w:r>
      <w:r>
        <w:rPr>
          <w:rFonts w:hint="eastAsia" w:ascii="黑体" w:hAnsi="黑体" w:eastAsia="黑体" w:cs="黑体"/>
          <w:kern w:val="0"/>
          <w:sz w:val="32"/>
          <w:szCs w:val="32"/>
        </w:rPr>
        <w:t>21年度部门预算表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一、部门收支总体情况表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二、部门收入总体情况表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三、部门支出总体情况表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四、财政拨款收支总体情况表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五、一般公共预算支出情况表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六、支出经济分类汇总表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七、一般公共预算“三公”经费支出情况表</w:t>
      </w:r>
    </w:p>
    <w:p>
      <w:pPr>
        <w:widowControl/>
        <w:spacing w:line="6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八、政府性基金预算支出情况表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九、重点项目预算的绩效目标表</w:t>
      </w: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jc w:val="center"/>
        <w:rPr>
          <w:rFonts w:ascii="黑体" w:hAnsi="黑体" w:eastAsia="黑体"/>
          <w:sz w:val="36"/>
          <w:szCs w:val="36"/>
        </w:rPr>
      </w:pPr>
    </w:p>
    <w:p>
      <w:pPr>
        <w:spacing w:line="600" w:lineRule="exact"/>
        <w:jc w:val="center"/>
        <w:rPr>
          <w:rFonts w:ascii="黑体" w:hAnsi="黑体" w:eastAsia="黑体"/>
          <w:sz w:val="36"/>
          <w:szCs w:val="36"/>
        </w:rPr>
      </w:pPr>
      <w:r>
        <w:rPr>
          <w:rFonts w:hint="eastAsia" w:ascii="黑体" w:hAnsi="黑体" w:eastAsia="黑体"/>
          <w:sz w:val="36"/>
          <w:szCs w:val="36"/>
        </w:rPr>
        <w:t>第一部分</w:t>
      </w:r>
    </w:p>
    <w:p>
      <w:pPr>
        <w:spacing w:line="600" w:lineRule="exact"/>
        <w:jc w:val="center"/>
        <w:rPr>
          <w:rFonts w:ascii="黑体" w:hAnsi="黑体" w:eastAsia="黑体"/>
          <w:sz w:val="36"/>
          <w:szCs w:val="36"/>
        </w:rPr>
      </w:pPr>
      <w:r>
        <w:rPr>
          <w:rFonts w:hint="eastAsia" w:ascii="黑体" w:hAnsi="黑体" w:eastAsia="黑体"/>
          <w:sz w:val="36"/>
          <w:szCs w:val="36"/>
        </w:rPr>
        <w:t>驻马店市财政局概况</w:t>
      </w:r>
    </w:p>
    <w:p>
      <w:pPr>
        <w:spacing w:line="600" w:lineRule="exact"/>
      </w:pPr>
      <w:r>
        <w:t> </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一、驻马店市财政局主要职能</w:t>
      </w:r>
    </w:p>
    <w:p>
      <w:pPr>
        <w:spacing w:line="600" w:lineRule="exact"/>
        <w:ind w:firstLine="630"/>
        <w:rPr>
          <w:rFonts w:ascii="仿宋" w:hAnsi="仿宋" w:eastAsia="仿宋" w:cs="Times New Roman"/>
          <w:color w:val="000000"/>
          <w:sz w:val="32"/>
          <w:szCs w:val="32"/>
        </w:rPr>
      </w:pPr>
      <w:r>
        <w:rPr>
          <w:rFonts w:hint="eastAsia" w:ascii="仿宋" w:hAnsi="仿宋" w:eastAsia="仿宋" w:cs="仿宋_GB2312"/>
          <w:sz w:val="32"/>
          <w:szCs w:val="32"/>
        </w:rPr>
        <w:t>根据《中共驻马店市委驻马店市人民政府关于市政府职能转变和机构改革的实施意见》（驻发〔</w:t>
      </w:r>
      <w:r>
        <w:rPr>
          <w:rFonts w:ascii="仿宋" w:hAnsi="仿宋" w:eastAsia="仿宋" w:cs="仿宋_GB2312"/>
          <w:sz w:val="32"/>
          <w:szCs w:val="32"/>
        </w:rPr>
        <w:t>2014</w:t>
      </w:r>
      <w:r>
        <w:rPr>
          <w:rFonts w:hint="eastAsia" w:ascii="仿宋" w:hAnsi="仿宋" w:eastAsia="仿宋" w:cs="仿宋_GB2312"/>
          <w:sz w:val="32"/>
          <w:szCs w:val="32"/>
        </w:rPr>
        <w:t>〕</w:t>
      </w:r>
      <w:r>
        <w:rPr>
          <w:rFonts w:ascii="仿宋" w:hAnsi="仿宋" w:eastAsia="仿宋" w:cs="仿宋_GB2312"/>
          <w:sz w:val="32"/>
          <w:szCs w:val="32"/>
        </w:rPr>
        <w:t>19</w:t>
      </w:r>
      <w:r>
        <w:rPr>
          <w:rFonts w:hint="eastAsia" w:ascii="仿宋" w:hAnsi="仿宋" w:eastAsia="仿宋" w:cs="仿宋_GB2312"/>
          <w:sz w:val="32"/>
          <w:szCs w:val="32"/>
        </w:rPr>
        <w:t>号）文件规定，驻马店市财政局为市政府组成部门，贯彻落实党中央关于财经工作的方针政策和决策部署，在履行职责过程中坚持和加强党对财政工作的集中</w:t>
      </w:r>
      <w:r>
        <w:rPr>
          <w:rFonts w:hint="eastAsia" w:ascii="仿宋" w:hAnsi="仿宋" w:eastAsia="仿宋"/>
          <w:sz w:val="32"/>
          <w:szCs w:val="32"/>
        </w:rPr>
        <w:t>统一领导。</w:t>
      </w:r>
      <w:r>
        <w:rPr>
          <w:rFonts w:hint="eastAsia" w:ascii="仿宋" w:hAnsi="仿宋" w:eastAsia="仿宋" w:cs="仿宋_GB2312"/>
          <w:color w:val="000000"/>
          <w:sz w:val="32"/>
          <w:szCs w:val="32"/>
        </w:rPr>
        <w:t>主要职责是：</w:t>
      </w:r>
    </w:p>
    <w:p>
      <w:pPr>
        <w:spacing w:line="600" w:lineRule="exact"/>
        <w:ind w:firstLine="645"/>
        <w:rPr>
          <w:rFonts w:ascii="仿宋" w:hAnsi="仿宋" w:eastAsia="仿宋" w:cs="Times New Roman"/>
          <w:sz w:val="32"/>
          <w:szCs w:val="32"/>
        </w:rPr>
      </w:pPr>
      <w:r>
        <w:rPr>
          <w:rFonts w:hint="eastAsia" w:ascii="仿宋" w:hAnsi="仿宋" w:eastAsia="仿宋" w:cs="仿宋_GB2312"/>
          <w:sz w:val="32"/>
          <w:szCs w:val="32"/>
        </w:rPr>
        <w:t>（一）拟订全市财税发展战略、规划、政策和改革方案并组织实施。研究提出建立完善现代财政制度，运用财政政策促进经济、政治、文化、社会、生态建设的政策措施。</w:t>
      </w:r>
    </w:p>
    <w:p>
      <w:pPr>
        <w:spacing w:line="600" w:lineRule="exact"/>
        <w:ind w:firstLine="645"/>
        <w:rPr>
          <w:rFonts w:ascii="仿宋" w:hAnsi="仿宋" w:eastAsia="仿宋" w:cs="Times New Roman"/>
          <w:sz w:val="32"/>
          <w:szCs w:val="32"/>
        </w:rPr>
      </w:pPr>
      <w:r>
        <w:rPr>
          <w:rFonts w:hint="eastAsia" w:ascii="仿宋" w:hAnsi="仿宋" w:eastAsia="仿宋" w:cs="仿宋_GB2312"/>
          <w:sz w:val="32"/>
          <w:szCs w:val="32"/>
        </w:rPr>
        <w:t>（二）拟订全市财政、财务、会计管理的规范性文件，组织涉外财政、债务等国际谈判并草签有关协议。在政府统一领导下，牵头建立政府购买服务工作机制，会同有关部门研究提出相关政策。</w:t>
      </w:r>
    </w:p>
    <w:p>
      <w:pPr>
        <w:spacing w:line="600" w:lineRule="exact"/>
        <w:ind w:firstLine="645"/>
        <w:rPr>
          <w:rFonts w:ascii="仿宋" w:hAnsi="仿宋" w:eastAsia="仿宋" w:cs="Times New Roman"/>
          <w:sz w:val="32"/>
          <w:szCs w:val="32"/>
        </w:rPr>
      </w:pPr>
      <w:r>
        <w:rPr>
          <w:rFonts w:hint="eastAsia" w:ascii="仿宋" w:hAnsi="仿宋" w:eastAsia="仿宋" w:cs="仿宋_GB2312"/>
          <w:sz w:val="32"/>
          <w:szCs w:val="32"/>
        </w:rPr>
        <w:t>（三）负责全市财政收支管理工作，承担市级财政收支管理的责任。负责编制年度市级财政预算草案并组织执行，受市政府委托向市人民代表大会报告全市和市级财政预算及其执行情况；负责编制全市年度财政决算草案并向市人大常委会报告。组织制定经费开支标准、定额，负责审核批复部门</w:t>
      </w:r>
      <w:r>
        <w:rPr>
          <w:rFonts w:ascii="仿宋" w:hAnsi="仿宋" w:eastAsia="仿宋" w:cs="仿宋_GB2312"/>
          <w:sz w:val="32"/>
          <w:szCs w:val="32"/>
        </w:rPr>
        <w:t>(</w:t>
      </w:r>
      <w:r>
        <w:rPr>
          <w:rFonts w:hint="eastAsia" w:ascii="仿宋" w:hAnsi="仿宋" w:eastAsia="仿宋" w:cs="仿宋_GB2312"/>
          <w:sz w:val="32"/>
          <w:szCs w:val="32"/>
        </w:rPr>
        <w:t>单位</w:t>
      </w:r>
      <w:r>
        <w:rPr>
          <w:rFonts w:ascii="仿宋" w:hAnsi="仿宋" w:eastAsia="仿宋" w:cs="仿宋_GB2312"/>
          <w:sz w:val="32"/>
          <w:szCs w:val="32"/>
        </w:rPr>
        <w:t>)</w:t>
      </w:r>
      <w:r>
        <w:rPr>
          <w:rFonts w:hint="eastAsia" w:ascii="仿宋" w:hAnsi="仿宋" w:eastAsia="仿宋" w:cs="仿宋_GB2312"/>
          <w:sz w:val="32"/>
          <w:szCs w:val="32"/>
        </w:rPr>
        <w:t>的年度预决算。建立全面规范、公开透明的预算制度。建立跨年度预算平衡机制。全面推进预算绩效管理工作。</w:t>
      </w:r>
    </w:p>
    <w:p>
      <w:pPr>
        <w:spacing w:line="600" w:lineRule="exact"/>
        <w:ind w:firstLine="645"/>
        <w:rPr>
          <w:rFonts w:ascii="仿宋" w:hAnsi="仿宋" w:eastAsia="仿宋" w:cs="Times New Roman"/>
          <w:sz w:val="32"/>
          <w:szCs w:val="32"/>
        </w:rPr>
      </w:pPr>
      <w:r>
        <w:rPr>
          <w:rFonts w:hint="eastAsia" w:ascii="仿宋" w:hAnsi="仿宋" w:eastAsia="仿宋" w:cs="仿宋_GB2312"/>
          <w:sz w:val="32"/>
          <w:szCs w:val="32"/>
        </w:rPr>
        <w:t>（四）研究提出完善市、县级政府之间事权、支出责任、财政收入划分方案的建议，完善转移支付制度。</w:t>
      </w:r>
    </w:p>
    <w:p>
      <w:pPr>
        <w:spacing w:line="600" w:lineRule="exact"/>
        <w:ind w:firstLine="645"/>
        <w:rPr>
          <w:rFonts w:ascii="仿宋" w:hAnsi="仿宋" w:eastAsia="仿宋" w:cs="Times New Roman"/>
          <w:sz w:val="32"/>
          <w:szCs w:val="32"/>
        </w:rPr>
      </w:pPr>
      <w:r>
        <w:rPr>
          <w:rFonts w:hint="eastAsia" w:ascii="仿宋" w:hAnsi="仿宋" w:eastAsia="仿宋" w:cs="仿宋_GB2312"/>
          <w:sz w:val="32"/>
          <w:szCs w:val="32"/>
        </w:rPr>
        <w:t>（五）负责政府非税收入和政府性基金管理；编制年度市级政府性基金预算草案，汇总年度全市政府性基金预算；管理财政票据；制定彩票管理政策，管理彩票市场，按规定管理彩票资金。研究制定政府非税收入管理制度。</w:t>
      </w:r>
    </w:p>
    <w:p>
      <w:pPr>
        <w:spacing w:line="600" w:lineRule="exact"/>
        <w:ind w:firstLine="645"/>
        <w:rPr>
          <w:rFonts w:ascii="仿宋" w:hAnsi="仿宋" w:eastAsia="仿宋" w:cs="Times New Roman"/>
          <w:sz w:val="32"/>
          <w:szCs w:val="32"/>
        </w:rPr>
      </w:pPr>
      <w:r>
        <w:rPr>
          <w:rFonts w:hint="eastAsia" w:ascii="仿宋" w:hAnsi="仿宋" w:eastAsia="仿宋" w:cs="仿宋_GB2312"/>
          <w:sz w:val="32"/>
          <w:szCs w:val="32"/>
        </w:rPr>
        <w:t>（六）组织制定全市财政国库管理制度、国库集中收付制度，指导和监督市级国库业务，按规定开展国库现金管理工作。负责建立权责发生制的政府综合财务报告制度。负责制定政府采购制度，编制市级政府采购预算并监督管理。</w:t>
      </w:r>
    </w:p>
    <w:p>
      <w:pPr>
        <w:spacing w:line="600" w:lineRule="exact"/>
        <w:ind w:firstLine="645"/>
        <w:rPr>
          <w:rFonts w:ascii="仿宋" w:hAnsi="仿宋" w:eastAsia="仿宋" w:cs="Times New Roman"/>
          <w:sz w:val="32"/>
          <w:szCs w:val="32"/>
        </w:rPr>
      </w:pPr>
      <w:r>
        <w:rPr>
          <w:rFonts w:hint="eastAsia" w:ascii="仿宋" w:hAnsi="仿宋" w:eastAsia="仿宋" w:cs="仿宋_GB2312"/>
          <w:sz w:val="32"/>
          <w:szCs w:val="32"/>
        </w:rPr>
        <w:t>（七）负责管理和监督市级行政、政法、教育、科学、文化、体育等支出，研究提出相关财政政策建议。拟订行政事业单位财务管理制度和公务支出标准。承担市级国有文化企业资产及财务管理有关工作。</w:t>
      </w:r>
    </w:p>
    <w:p>
      <w:pPr>
        <w:spacing w:line="600" w:lineRule="exact"/>
        <w:ind w:firstLine="645"/>
        <w:rPr>
          <w:rFonts w:ascii="仿宋" w:hAnsi="仿宋" w:eastAsia="仿宋" w:cs="Times New Roman"/>
          <w:sz w:val="32"/>
          <w:szCs w:val="32"/>
        </w:rPr>
      </w:pPr>
      <w:r>
        <w:rPr>
          <w:rFonts w:hint="eastAsia" w:ascii="仿宋" w:hAnsi="仿宋" w:eastAsia="仿宋" w:cs="仿宋_GB2312"/>
          <w:sz w:val="32"/>
          <w:szCs w:val="32"/>
        </w:rPr>
        <w:t>（八）负责管理和监督市级农业、林业、水利、扶贫等支出，研究提出相关财政政策建议；负责全市农业综合开发资金管理等工作。</w:t>
      </w:r>
    </w:p>
    <w:p>
      <w:pPr>
        <w:spacing w:line="600" w:lineRule="exact"/>
        <w:ind w:firstLine="645"/>
        <w:rPr>
          <w:rFonts w:ascii="仿宋" w:hAnsi="仿宋" w:eastAsia="仿宋" w:cs="Times New Roman"/>
          <w:sz w:val="32"/>
          <w:szCs w:val="32"/>
        </w:rPr>
      </w:pPr>
      <w:r>
        <w:rPr>
          <w:rFonts w:hint="eastAsia" w:ascii="仿宋" w:hAnsi="仿宋" w:eastAsia="仿宋" w:cs="仿宋_GB2312"/>
          <w:sz w:val="32"/>
          <w:szCs w:val="32"/>
        </w:rPr>
        <w:t>（九）制定促进全市经济发展的财政政策，负责监督管理市级财政经济发展支出；制定全市基本建设财务制度；负责市级城建资金的筹集、使用和管理；承担财政投资评审管理工作。</w:t>
      </w:r>
    </w:p>
    <w:p>
      <w:pPr>
        <w:spacing w:line="600" w:lineRule="exact"/>
        <w:ind w:firstLine="645"/>
        <w:rPr>
          <w:rFonts w:ascii="仿宋" w:hAnsi="仿宋" w:eastAsia="仿宋" w:cs="Times New Roman"/>
          <w:sz w:val="32"/>
          <w:szCs w:val="32"/>
        </w:rPr>
      </w:pPr>
      <w:r>
        <w:rPr>
          <w:rFonts w:hint="eastAsia" w:ascii="仿宋" w:hAnsi="仿宋" w:eastAsia="仿宋" w:cs="仿宋_GB2312"/>
          <w:sz w:val="32"/>
          <w:szCs w:val="32"/>
        </w:rPr>
        <w:t>（十）负责管理和监督市级财政社会保障、就业及医疗卫生支出，会同有关部门拟订社会保障资金（基金）的财务管理制度，编制市级社会保障预决算草案。</w:t>
      </w:r>
    </w:p>
    <w:p>
      <w:pPr>
        <w:spacing w:line="600" w:lineRule="exact"/>
        <w:ind w:firstLine="645"/>
        <w:rPr>
          <w:rFonts w:ascii="仿宋" w:hAnsi="仿宋" w:eastAsia="仿宋" w:cs="Times New Roman"/>
          <w:sz w:val="32"/>
          <w:szCs w:val="32"/>
        </w:rPr>
      </w:pPr>
      <w:r>
        <w:rPr>
          <w:rFonts w:hint="eastAsia" w:ascii="仿宋" w:hAnsi="仿宋" w:eastAsia="仿宋" w:cs="仿宋_GB2312"/>
          <w:sz w:val="32"/>
          <w:szCs w:val="32"/>
        </w:rPr>
        <w:t>（十一）负责管理和监督市级财政服务业发展、商业流通、旅游、粮食等支出，研究提出相关财政政策建议。拟订商业流通、旅游、粮食、物资、供销企业的财务管理制度；承担有关政策性补贴和专项储备资金财政管理工作。</w:t>
      </w:r>
    </w:p>
    <w:p>
      <w:pPr>
        <w:spacing w:line="600" w:lineRule="exact"/>
        <w:ind w:firstLine="645"/>
        <w:rPr>
          <w:rFonts w:ascii="仿宋" w:hAnsi="仿宋" w:eastAsia="仿宋" w:cs="Times New Roman"/>
          <w:sz w:val="32"/>
          <w:szCs w:val="32"/>
        </w:rPr>
      </w:pPr>
      <w:r>
        <w:rPr>
          <w:rFonts w:hint="eastAsia" w:ascii="仿宋" w:hAnsi="仿宋" w:eastAsia="仿宋" w:cs="仿宋_GB2312"/>
          <w:sz w:val="32"/>
          <w:szCs w:val="32"/>
        </w:rPr>
        <w:t>（十二）组织起草全市地方性税收立法规划，与市地方税务部门共同上报税收地方性法规、规章草案；在国家规定的权限内，提出地方性税目税率调整和对全市财政影响较大的临时特案减免税的建议；牵头建立个人收入和财产信息系统。在国家税制改革统一框架下，提出加强地方税体系建设相关建议。</w:t>
      </w:r>
    </w:p>
    <w:p>
      <w:pPr>
        <w:spacing w:line="600" w:lineRule="exact"/>
        <w:ind w:firstLine="645"/>
        <w:rPr>
          <w:rFonts w:ascii="仿宋" w:hAnsi="仿宋" w:eastAsia="仿宋" w:cs="Times New Roman"/>
          <w:sz w:val="32"/>
          <w:szCs w:val="32"/>
        </w:rPr>
      </w:pPr>
      <w:r>
        <w:rPr>
          <w:rFonts w:hint="eastAsia" w:ascii="仿宋" w:hAnsi="仿宋" w:eastAsia="仿宋" w:cs="仿宋_GB2312"/>
          <w:sz w:val="32"/>
          <w:szCs w:val="32"/>
        </w:rPr>
        <w:t>（十三）负责制定行政事业单位国有资产管理制度，并对执行情况进行监督检查。管理行政事业单位国有资产，制定资产配置标准和相关费用标准，编制市级行政事业单位国有资产购置预算；负责市级事业单位对外投资的审批和监督管理；负责全市财政预算内行政、事业单位和社会团体的非贸易外汇管理。</w:t>
      </w:r>
    </w:p>
    <w:p>
      <w:pPr>
        <w:spacing w:line="600" w:lineRule="exact"/>
        <w:ind w:firstLine="645"/>
        <w:rPr>
          <w:rFonts w:ascii="仿宋" w:hAnsi="仿宋" w:eastAsia="仿宋" w:cs="Times New Roman"/>
          <w:sz w:val="32"/>
          <w:szCs w:val="32"/>
        </w:rPr>
      </w:pPr>
      <w:r>
        <w:rPr>
          <w:rFonts w:hint="eastAsia" w:ascii="仿宋" w:hAnsi="仿宋" w:eastAsia="仿宋" w:cs="仿宋_GB2312"/>
          <w:sz w:val="32"/>
          <w:szCs w:val="32"/>
        </w:rPr>
        <w:t>（十四）负责制定国有资本经营预算制度，编制市级国有资本经营预算，审核和汇总编制全市国有资本经营预决算草案，收取市本级企业国有资本收益，组织实施全市企业财务制度，参与拟订企业国有资产管理相关制度，按规定管理资产评估工作；监督管理公物拍卖。</w:t>
      </w:r>
    </w:p>
    <w:p>
      <w:pPr>
        <w:spacing w:line="600" w:lineRule="exact"/>
        <w:ind w:firstLine="645"/>
        <w:rPr>
          <w:rFonts w:ascii="仿宋" w:hAnsi="仿宋" w:eastAsia="仿宋" w:cs="Times New Roman"/>
          <w:sz w:val="32"/>
          <w:szCs w:val="32"/>
        </w:rPr>
      </w:pPr>
      <w:r>
        <w:rPr>
          <w:rFonts w:hint="eastAsia" w:ascii="仿宋" w:hAnsi="仿宋" w:eastAsia="仿宋" w:cs="仿宋_GB2312"/>
          <w:sz w:val="32"/>
          <w:szCs w:val="32"/>
        </w:rPr>
        <w:t>（十五）承担地方金融类企业国有资产管理的有关工作，拟订地方金融类企业财务管理制度，按规定管理政策性金融业务。拟订地方政策性保险有关政策。代表政府履行出资人对地方金融类企业资产、财务的监管职责。</w:t>
      </w:r>
    </w:p>
    <w:p>
      <w:pPr>
        <w:spacing w:line="600" w:lineRule="exact"/>
        <w:ind w:firstLine="645"/>
        <w:rPr>
          <w:rFonts w:ascii="仿宋" w:hAnsi="仿宋" w:eastAsia="仿宋" w:cs="Times New Roman"/>
          <w:sz w:val="32"/>
          <w:szCs w:val="32"/>
        </w:rPr>
      </w:pPr>
      <w:r>
        <w:rPr>
          <w:rFonts w:hint="eastAsia" w:ascii="仿宋" w:hAnsi="仿宋" w:eastAsia="仿宋" w:cs="仿宋_GB2312"/>
          <w:sz w:val="32"/>
          <w:szCs w:val="32"/>
        </w:rPr>
        <w:t>（十六）执行国家政府性债务管理的政策和制度，拟订地方性有关政策、制度，建立规范合理的政府性债务管理及相关风险预警机制。</w:t>
      </w:r>
    </w:p>
    <w:p>
      <w:pPr>
        <w:spacing w:line="600" w:lineRule="exact"/>
        <w:ind w:firstLine="645"/>
        <w:rPr>
          <w:rFonts w:ascii="仿宋" w:hAnsi="仿宋" w:eastAsia="仿宋" w:cs="Times New Roman"/>
          <w:sz w:val="32"/>
          <w:szCs w:val="32"/>
        </w:rPr>
      </w:pPr>
      <w:r>
        <w:rPr>
          <w:rFonts w:hint="eastAsia" w:ascii="仿宋" w:hAnsi="仿宋" w:eastAsia="仿宋" w:cs="仿宋_GB2312"/>
          <w:sz w:val="32"/>
          <w:szCs w:val="32"/>
        </w:rPr>
        <w:t>（十七）负责管理全市会计工作，监督和规范会计行为，组织实施国家统一的会计制度，负责审批设立会计师事务所，指导和监督注册会计师、会计师事务所的业务，指导和管理社会审计工作。</w:t>
      </w:r>
    </w:p>
    <w:p>
      <w:pPr>
        <w:spacing w:line="600" w:lineRule="exact"/>
        <w:ind w:firstLine="645"/>
        <w:rPr>
          <w:rFonts w:ascii="仿宋" w:hAnsi="仿宋" w:eastAsia="仿宋" w:cs="Times New Roman"/>
          <w:sz w:val="32"/>
          <w:szCs w:val="32"/>
        </w:rPr>
      </w:pPr>
      <w:r>
        <w:rPr>
          <w:rFonts w:hint="eastAsia" w:ascii="仿宋" w:hAnsi="仿宋" w:eastAsia="仿宋" w:cs="仿宋_GB2312"/>
          <w:sz w:val="32"/>
          <w:szCs w:val="32"/>
        </w:rPr>
        <w:t>（十八）监督检查财税法规、政策的执行情况，依法查处违法违规行为；反映财政收支管理中的重大问题，提出加强财政管理的政策建议。</w:t>
      </w:r>
    </w:p>
    <w:p>
      <w:pPr>
        <w:spacing w:line="600" w:lineRule="exact"/>
        <w:ind w:firstLine="645"/>
        <w:rPr>
          <w:rFonts w:ascii="仿宋" w:hAnsi="仿宋" w:eastAsia="仿宋" w:cs="Times New Roman"/>
          <w:sz w:val="32"/>
          <w:szCs w:val="32"/>
        </w:rPr>
      </w:pPr>
      <w:r>
        <w:rPr>
          <w:rFonts w:hint="eastAsia" w:ascii="仿宋" w:hAnsi="仿宋" w:eastAsia="仿宋" w:cs="仿宋_GB2312"/>
          <w:sz w:val="32"/>
          <w:szCs w:val="32"/>
        </w:rPr>
        <w:t>（十九）承办市政府交办的其他事项。</w:t>
      </w:r>
    </w:p>
    <w:p>
      <w:pPr>
        <w:spacing w:line="600" w:lineRule="exact"/>
        <w:ind w:firstLine="640" w:firstLineChars="200"/>
        <w:jc w:val="left"/>
        <w:rPr>
          <w:rFonts w:ascii="黑体" w:hAnsi="黑体" w:eastAsia="黑体"/>
          <w:sz w:val="32"/>
          <w:szCs w:val="32"/>
        </w:rPr>
      </w:pPr>
      <w:r>
        <w:rPr>
          <w:rFonts w:hint="eastAsia" w:ascii="黑体" w:hAnsi="黑体" w:eastAsia="黑体"/>
          <w:sz w:val="32"/>
          <w:szCs w:val="32"/>
        </w:rPr>
        <w:t>二、驻马店市财政局机构设置及预算单位构成</w:t>
      </w:r>
    </w:p>
    <w:p>
      <w:pPr>
        <w:spacing w:line="55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驻马店市财政局内设28个职能科室，分别是</w:t>
      </w:r>
      <w:r>
        <w:rPr>
          <w:rFonts w:hint="eastAsia" w:ascii="仿宋" w:hAnsi="仿宋" w:eastAsia="仿宋"/>
          <w:sz w:val="32"/>
          <w:szCs w:val="32"/>
        </w:rPr>
        <w:t>办公室、人事教育科、综合科、预算科、国库科、行政政法科、教科文科、经济建设科、农业农村一科、农业农村二科、社会保障科、政府采购管理科（驻马店市人民政府政府采购管理办公室）、税政条法科（综合治税办公室）、企业科、金融贸易科、城市建设科、基层财政管理科、</w:t>
      </w:r>
      <w:r>
        <w:rPr>
          <w:rFonts w:hint="eastAsia" w:ascii="仿宋" w:hAnsi="仿宋" w:eastAsia="仿宋" w:cs="仿宋_GB2312"/>
          <w:sz w:val="32"/>
          <w:szCs w:val="32"/>
        </w:rPr>
        <w:t>政府债务管理科（政府债务管理办公室）、</w:t>
      </w:r>
      <w:r>
        <w:rPr>
          <w:rFonts w:hint="eastAsia" w:ascii="仿宋" w:hAnsi="仿宋" w:eastAsia="仿宋"/>
          <w:sz w:val="32"/>
          <w:szCs w:val="32"/>
        </w:rPr>
        <w:t>预算绩效管理科、对外经济合作科、会计科、资产管理科、财政监督检查办公室、市属功能类公益类企业国有资产监管办公室、企业改革和考核评价科、</w:t>
      </w:r>
      <w:r>
        <w:rPr>
          <w:rFonts w:hint="eastAsia" w:ascii="仿宋" w:hAnsi="仿宋" w:eastAsia="仿宋" w:cs="仿宋_GB2312"/>
          <w:sz w:val="32"/>
          <w:szCs w:val="32"/>
        </w:rPr>
        <w:t>资本运营和产权管理科、企业监管科（信访工作科）、老干部科。</w:t>
      </w:r>
    </w:p>
    <w:p>
      <w:pPr>
        <w:widowControl/>
        <w:spacing w:line="600" w:lineRule="exact"/>
        <w:ind w:firstLine="640" w:firstLineChars="200"/>
        <w:jc w:val="left"/>
        <w:rPr>
          <w:rFonts w:ascii="仿宋" w:hAnsi="仿宋" w:eastAsia="仿宋" w:cs="Times New Roman"/>
          <w:kern w:val="0"/>
          <w:sz w:val="32"/>
          <w:szCs w:val="32"/>
        </w:rPr>
      </w:pPr>
      <w:r>
        <w:rPr>
          <w:rFonts w:hint="eastAsia" w:ascii="仿宋" w:hAnsi="仿宋" w:eastAsia="仿宋" w:cs="仿宋_GB2312"/>
          <w:sz w:val="32"/>
          <w:szCs w:val="32"/>
        </w:rPr>
        <w:t>驻马店市财政局</w:t>
      </w:r>
      <w:r>
        <w:rPr>
          <w:rFonts w:hint="eastAsia" w:ascii="仿宋" w:hAnsi="仿宋" w:eastAsia="仿宋" w:cs="仿宋_GB2312"/>
          <w:kern w:val="0"/>
          <w:sz w:val="32"/>
          <w:szCs w:val="32"/>
        </w:rPr>
        <w:t>部门预算包括局机关本级预算和局属单位预算。</w:t>
      </w:r>
    </w:p>
    <w:p>
      <w:pPr>
        <w:spacing w:line="600" w:lineRule="exact"/>
        <w:ind w:firstLine="640" w:firstLineChars="200"/>
        <w:rPr>
          <w:rFonts w:ascii="仿宋" w:hAnsi="仿宋" w:eastAsia="仿宋" w:cs="Times New Roman"/>
          <w:sz w:val="32"/>
          <w:szCs w:val="32"/>
        </w:rPr>
      </w:pPr>
      <w:r>
        <w:rPr>
          <w:rFonts w:ascii="仿宋" w:hAnsi="仿宋" w:eastAsia="仿宋" w:cs="仿宋_GB2312"/>
          <w:sz w:val="32"/>
          <w:szCs w:val="32"/>
        </w:rPr>
        <w:t>1</w:t>
      </w:r>
      <w:r>
        <w:rPr>
          <w:rFonts w:hint="eastAsia" w:ascii="仿宋" w:hAnsi="仿宋" w:eastAsia="仿宋" w:cs="仿宋_GB2312"/>
          <w:sz w:val="32"/>
          <w:szCs w:val="32"/>
        </w:rPr>
        <w:t>.驻马店市财政局机关本级（含原</w:t>
      </w:r>
      <w:r>
        <w:rPr>
          <w:rFonts w:hint="eastAsia" w:ascii="仿宋" w:hAnsi="仿宋" w:eastAsia="仿宋" w:cs="仿宋_GB2312"/>
          <w:color w:val="000000"/>
          <w:kern w:val="0"/>
          <w:sz w:val="32"/>
          <w:szCs w:val="32"/>
        </w:rPr>
        <w:t>驻马店市国有资产监督管理委员会</w:t>
      </w:r>
      <w:r>
        <w:rPr>
          <w:rFonts w:hint="eastAsia" w:ascii="仿宋" w:hAnsi="仿宋" w:eastAsia="仿宋" w:cs="仿宋_GB2312"/>
          <w:sz w:val="32"/>
          <w:szCs w:val="32"/>
        </w:rPr>
        <w:t>）；</w:t>
      </w:r>
    </w:p>
    <w:p>
      <w:pPr>
        <w:spacing w:line="600" w:lineRule="exact"/>
        <w:ind w:firstLine="640" w:firstLineChars="200"/>
        <w:rPr>
          <w:rFonts w:ascii="仿宋" w:hAnsi="仿宋" w:eastAsia="仿宋" w:cs="Times New Roman"/>
          <w:sz w:val="32"/>
          <w:szCs w:val="32"/>
        </w:rPr>
      </w:pPr>
      <w:r>
        <w:rPr>
          <w:rFonts w:ascii="仿宋" w:hAnsi="仿宋" w:eastAsia="仿宋" w:cs="仿宋_GB2312"/>
          <w:sz w:val="32"/>
          <w:szCs w:val="32"/>
        </w:rPr>
        <w:t>2</w:t>
      </w:r>
      <w:r>
        <w:rPr>
          <w:rFonts w:hint="eastAsia" w:ascii="仿宋" w:hAnsi="仿宋" w:eastAsia="仿宋" w:cs="仿宋_GB2312"/>
          <w:sz w:val="32"/>
          <w:szCs w:val="32"/>
        </w:rPr>
        <w:t>.驻马店市财政支付中心(含原驻马店市非税收入管理局)；</w:t>
      </w:r>
    </w:p>
    <w:p>
      <w:pPr>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3.驻马店市农业综合开发资金管理中心；</w:t>
      </w:r>
    </w:p>
    <w:p>
      <w:pPr>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4.驻马店市行政事业单位国有资产管理中心；</w:t>
      </w:r>
    </w:p>
    <w:p>
      <w:pPr>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5.驻马店市注册会计师协会秘书处；</w:t>
      </w:r>
    </w:p>
    <w:p>
      <w:pPr>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6.驻马店市财政政策研究室；</w:t>
      </w:r>
    </w:p>
    <w:p>
      <w:pPr>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7.驻马店市财政局干部教育中心；</w:t>
      </w:r>
    </w:p>
    <w:p>
      <w:pPr>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8.驻马店市税源建设服务中心；</w:t>
      </w:r>
    </w:p>
    <w:p>
      <w:pPr>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9.驻马店市财政信息中心；</w:t>
      </w:r>
    </w:p>
    <w:p>
      <w:pPr>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10.驻马店市财政局机关后勤服务中心；</w:t>
      </w:r>
    </w:p>
    <w:p>
      <w:pPr>
        <w:spacing w:line="600" w:lineRule="exact"/>
        <w:ind w:firstLine="640" w:firstLineChars="200"/>
        <w:rPr>
          <w:rFonts w:ascii="仿宋" w:hAnsi="仿宋" w:eastAsia="仿宋" w:cs="Times New Roman"/>
          <w:sz w:val="32"/>
          <w:szCs w:val="32"/>
        </w:rPr>
      </w:pPr>
      <w:r>
        <w:rPr>
          <w:rFonts w:ascii="仿宋" w:hAnsi="仿宋" w:eastAsia="仿宋" w:cs="仿宋_GB2312"/>
          <w:sz w:val="32"/>
          <w:szCs w:val="32"/>
        </w:rPr>
        <w:t>1</w:t>
      </w:r>
      <w:r>
        <w:rPr>
          <w:rFonts w:hint="eastAsia" w:ascii="仿宋" w:hAnsi="仿宋" w:eastAsia="仿宋" w:cs="仿宋_GB2312"/>
          <w:sz w:val="32"/>
          <w:szCs w:val="32"/>
        </w:rPr>
        <w:t>1.驻马店市财政预算绩效服务中心；</w:t>
      </w:r>
    </w:p>
    <w:p>
      <w:pPr>
        <w:spacing w:line="600" w:lineRule="exact"/>
        <w:ind w:firstLine="640" w:firstLineChars="200"/>
        <w:rPr>
          <w:rFonts w:ascii="仿宋" w:hAnsi="仿宋" w:eastAsia="仿宋" w:cs="Times New Roman"/>
          <w:sz w:val="32"/>
          <w:szCs w:val="32"/>
        </w:rPr>
      </w:pPr>
      <w:r>
        <w:rPr>
          <w:rFonts w:ascii="仿宋" w:hAnsi="仿宋" w:eastAsia="仿宋" w:cs="仿宋_GB2312"/>
          <w:sz w:val="32"/>
          <w:szCs w:val="32"/>
        </w:rPr>
        <w:t>1</w:t>
      </w:r>
      <w:r>
        <w:rPr>
          <w:rFonts w:hint="eastAsia" w:ascii="仿宋" w:hAnsi="仿宋" w:eastAsia="仿宋" w:cs="仿宋_GB2312"/>
          <w:sz w:val="32"/>
          <w:szCs w:val="32"/>
        </w:rPr>
        <w:t>2.驻马店市道路交通事故社会救助基金服务中心。</w:t>
      </w:r>
    </w:p>
    <w:p>
      <w:pPr>
        <w:widowControl/>
        <w:spacing w:line="600" w:lineRule="exact"/>
        <w:ind w:firstLine="480"/>
        <w:rPr>
          <w:rFonts w:ascii="华文仿宋" w:hAnsi="华文仿宋" w:eastAsia="华文仿宋" w:cs="Times New Roman"/>
          <w:kern w:val="0"/>
          <w:sz w:val="32"/>
          <w:szCs w:val="32"/>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Times New Roman"/>
          <w:kern w:val="0"/>
          <w:sz w:val="36"/>
          <w:szCs w:val="36"/>
        </w:rPr>
      </w:pPr>
      <w:r>
        <w:rPr>
          <w:rFonts w:hint="eastAsia" w:ascii="黑体" w:hAnsi="黑体" w:eastAsia="黑体" w:cs="黑体"/>
          <w:kern w:val="0"/>
          <w:sz w:val="36"/>
          <w:szCs w:val="36"/>
        </w:rPr>
        <w:t>第二部分</w:t>
      </w:r>
    </w:p>
    <w:p>
      <w:pPr>
        <w:widowControl/>
        <w:spacing w:line="600" w:lineRule="exact"/>
        <w:jc w:val="center"/>
        <w:rPr>
          <w:rFonts w:ascii="黑体" w:hAnsi="黑体" w:eastAsia="黑体" w:cs="Times New Roman"/>
          <w:kern w:val="0"/>
          <w:sz w:val="36"/>
          <w:szCs w:val="36"/>
        </w:rPr>
      </w:pPr>
      <w:r>
        <w:rPr>
          <w:rFonts w:hint="eastAsia" w:ascii="黑体" w:hAnsi="黑体" w:eastAsia="黑体" w:cs="黑体"/>
          <w:kern w:val="0"/>
          <w:sz w:val="36"/>
          <w:szCs w:val="36"/>
        </w:rPr>
        <w:t>驻马店市财政局</w:t>
      </w:r>
      <w:r>
        <w:rPr>
          <w:rFonts w:ascii="黑体" w:hAnsi="黑体" w:eastAsia="黑体" w:cs="黑体"/>
          <w:kern w:val="0"/>
          <w:sz w:val="36"/>
          <w:szCs w:val="36"/>
        </w:rPr>
        <w:t>20</w:t>
      </w:r>
      <w:r>
        <w:rPr>
          <w:rFonts w:hint="eastAsia" w:ascii="黑体" w:hAnsi="黑体" w:eastAsia="黑体" w:cs="黑体"/>
          <w:kern w:val="0"/>
          <w:sz w:val="36"/>
          <w:szCs w:val="36"/>
        </w:rPr>
        <w:t>21年度部门预算情况说明</w:t>
      </w:r>
    </w:p>
    <w:p>
      <w:pPr>
        <w:spacing w:line="600" w:lineRule="exact"/>
        <w:rPr>
          <w:rFonts w:ascii="黑体" w:hAnsi="黑体" w:eastAsia="黑体"/>
          <w:sz w:val="32"/>
          <w:szCs w:val="32"/>
        </w:rPr>
      </w:pPr>
    </w:p>
    <w:p>
      <w:pPr>
        <w:spacing w:line="600" w:lineRule="exact"/>
        <w:ind w:firstLine="640" w:firstLineChars="200"/>
        <w:rPr>
          <w:rFonts w:ascii="黑体" w:hAnsi="黑体" w:eastAsia="黑体"/>
          <w:sz w:val="32"/>
          <w:szCs w:val="32"/>
        </w:rPr>
      </w:pPr>
      <w:r>
        <w:rPr>
          <w:rFonts w:hint="eastAsia" w:ascii="黑体" w:hAnsi="黑体" w:eastAsia="黑体"/>
          <w:sz w:val="32"/>
          <w:szCs w:val="32"/>
        </w:rPr>
        <w:t>一、收入支出预算总体情况说明</w:t>
      </w:r>
    </w:p>
    <w:p>
      <w:pPr>
        <w:spacing w:line="600" w:lineRule="exact"/>
        <w:ind w:firstLine="640" w:firstLineChars="200"/>
        <w:rPr>
          <w:rFonts w:ascii="仿宋" w:hAnsi="仿宋" w:eastAsia="仿宋" w:cs="Times New Roman"/>
          <w:sz w:val="32"/>
          <w:szCs w:val="32"/>
        </w:rPr>
      </w:pPr>
      <w:r>
        <w:rPr>
          <w:rFonts w:ascii="华文仿宋" w:hAnsi="华文仿宋" w:eastAsia="仿宋" w:cs="Times New Roman"/>
          <w:sz w:val="32"/>
          <w:szCs w:val="32"/>
        </w:rPr>
        <w:t> </w:t>
      </w:r>
      <w:r>
        <w:rPr>
          <w:rFonts w:hint="eastAsia" w:ascii="仿宋" w:hAnsi="仿宋" w:eastAsia="仿宋" w:cs="仿宋_GB2312"/>
          <w:sz w:val="32"/>
          <w:szCs w:val="32"/>
        </w:rPr>
        <w:t>驻马店市财政局</w:t>
      </w:r>
      <w:r>
        <w:rPr>
          <w:rFonts w:ascii="仿宋" w:hAnsi="仿宋" w:eastAsia="仿宋" w:cs="仿宋_GB2312"/>
          <w:color w:val="000000"/>
          <w:sz w:val="32"/>
          <w:szCs w:val="32"/>
        </w:rPr>
        <w:t>202</w:t>
      </w:r>
      <w:r>
        <w:rPr>
          <w:rFonts w:hint="eastAsia" w:ascii="仿宋" w:hAnsi="仿宋" w:eastAsia="仿宋" w:cs="仿宋_GB2312"/>
          <w:color w:val="000000"/>
          <w:sz w:val="32"/>
          <w:szCs w:val="32"/>
        </w:rPr>
        <w:t>1年收入总计6179.22万元，支出总计6179.22万元，与</w:t>
      </w:r>
      <w:r>
        <w:rPr>
          <w:rFonts w:ascii="仿宋" w:hAnsi="仿宋" w:eastAsia="仿宋" w:cs="仿宋_GB2312"/>
          <w:color w:val="000000"/>
          <w:sz w:val="32"/>
          <w:szCs w:val="32"/>
        </w:rPr>
        <w:t>20</w:t>
      </w:r>
      <w:r>
        <w:rPr>
          <w:rFonts w:hint="eastAsia" w:ascii="仿宋" w:hAnsi="仿宋" w:eastAsia="仿宋" w:cs="仿宋_GB2312"/>
          <w:color w:val="000000"/>
          <w:sz w:val="32"/>
          <w:szCs w:val="32"/>
        </w:rPr>
        <w:t>20年预算相比，收、支总计各增加694.58万元，上升12.66</w:t>
      </w:r>
      <w:r>
        <w:rPr>
          <w:rFonts w:ascii="仿宋" w:hAnsi="仿宋" w:eastAsia="仿宋" w:cs="仿宋_GB2312"/>
          <w:color w:val="000000"/>
          <w:sz w:val="32"/>
          <w:szCs w:val="32"/>
        </w:rPr>
        <w:t>%</w:t>
      </w:r>
      <w:r>
        <w:rPr>
          <w:rFonts w:hint="eastAsia" w:ascii="仿宋" w:hAnsi="仿宋" w:eastAsia="仿宋" w:cs="仿宋_GB2312"/>
          <w:color w:val="000000"/>
          <w:sz w:val="32"/>
          <w:szCs w:val="32"/>
        </w:rPr>
        <w:t>。主要原因</w:t>
      </w:r>
      <w:r>
        <w:rPr>
          <w:rFonts w:hint="eastAsia" w:ascii="仿宋" w:hAnsi="仿宋" w:eastAsia="仿宋" w:cs="仿宋_GB2312"/>
          <w:bCs/>
          <w:color w:val="000000"/>
          <w:sz w:val="32"/>
          <w:szCs w:val="32"/>
        </w:rPr>
        <w:t>是</w:t>
      </w:r>
      <w:r>
        <w:rPr>
          <w:rFonts w:hint="eastAsia" w:ascii="仿宋" w:hAnsi="仿宋" w:eastAsia="仿宋" w:cs="仿宋_GB2312"/>
          <w:color w:val="000000"/>
          <w:sz w:val="32"/>
          <w:szCs w:val="32"/>
        </w:rPr>
        <w:t>项目支出预算有较大增幅</w:t>
      </w:r>
      <w:r>
        <w:rPr>
          <w:rFonts w:hint="eastAsia" w:ascii="仿宋" w:hAnsi="仿宋" w:eastAsia="仿宋" w:cs="仿宋_GB2312"/>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二、收入预算总体情况说明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驻马店市财政局</w:t>
      </w:r>
      <w:r>
        <w:rPr>
          <w:rFonts w:eastAsia="仿宋"/>
          <w:sz w:val="32"/>
          <w:szCs w:val="32"/>
        </w:rPr>
        <w:t>  </w:t>
      </w:r>
      <w:r>
        <w:rPr>
          <w:rFonts w:ascii="仿宋" w:hAnsi="仿宋" w:eastAsia="仿宋"/>
          <w:sz w:val="32"/>
          <w:szCs w:val="32"/>
        </w:rPr>
        <w:t>202</w:t>
      </w:r>
      <w:r>
        <w:rPr>
          <w:rFonts w:hint="eastAsia" w:ascii="仿宋" w:hAnsi="仿宋" w:eastAsia="仿宋"/>
          <w:sz w:val="32"/>
          <w:szCs w:val="32"/>
        </w:rPr>
        <w:t>1年收入合计</w:t>
      </w:r>
      <w:r>
        <w:rPr>
          <w:rFonts w:hint="eastAsia" w:ascii="仿宋" w:hAnsi="仿宋" w:eastAsia="仿宋" w:cs="仿宋_GB2312"/>
          <w:color w:val="000000"/>
          <w:sz w:val="32"/>
          <w:szCs w:val="32"/>
        </w:rPr>
        <w:t>6179.22</w:t>
      </w:r>
      <w:r>
        <w:rPr>
          <w:rFonts w:hint="eastAsia" w:ascii="仿宋" w:hAnsi="仿宋" w:eastAsia="仿宋"/>
          <w:sz w:val="32"/>
          <w:szCs w:val="32"/>
        </w:rPr>
        <w:t>万元。其中：一般公共预算收入</w:t>
      </w:r>
      <w:r>
        <w:rPr>
          <w:rFonts w:hint="eastAsia" w:ascii="仿宋" w:hAnsi="仿宋" w:eastAsia="仿宋" w:cs="仿宋_GB2312"/>
          <w:color w:val="000000"/>
          <w:sz w:val="32"/>
          <w:szCs w:val="32"/>
        </w:rPr>
        <w:t>6179.22</w:t>
      </w:r>
      <w:r>
        <w:rPr>
          <w:rFonts w:hint="eastAsia" w:ascii="仿宋" w:hAnsi="仿宋" w:eastAsia="仿宋"/>
          <w:sz w:val="32"/>
          <w:szCs w:val="32"/>
        </w:rPr>
        <w:t>万元。</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三、支出预算总体情况说明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驻马店市财政局</w:t>
      </w:r>
      <w:r>
        <w:rPr>
          <w:rFonts w:ascii="仿宋" w:hAnsi="仿宋" w:eastAsia="仿宋"/>
          <w:sz w:val="32"/>
          <w:szCs w:val="32"/>
        </w:rPr>
        <w:t>202</w:t>
      </w:r>
      <w:r>
        <w:rPr>
          <w:rFonts w:hint="eastAsia" w:ascii="仿宋" w:hAnsi="仿宋" w:eastAsia="仿宋"/>
          <w:sz w:val="32"/>
          <w:szCs w:val="32"/>
        </w:rPr>
        <w:t>1年支出合计</w:t>
      </w:r>
      <w:r>
        <w:rPr>
          <w:rFonts w:hint="eastAsia" w:ascii="仿宋" w:hAnsi="仿宋" w:eastAsia="仿宋" w:cs="仿宋_GB2312"/>
          <w:color w:val="000000"/>
          <w:sz w:val="32"/>
          <w:szCs w:val="32"/>
        </w:rPr>
        <w:t>6179.22</w:t>
      </w:r>
      <w:r>
        <w:rPr>
          <w:rFonts w:hint="eastAsia" w:ascii="仿宋" w:hAnsi="仿宋" w:eastAsia="仿宋"/>
          <w:sz w:val="32"/>
          <w:szCs w:val="32"/>
        </w:rPr>
        <w:t>万元，其中：基本支出4385.76万元，占70.98</w:t>
      </w:r>
      <w:r>
        <w:rPr>
          <w:rFonts w:ascii="仿宋" w:hAnsi="仿宋" w:eastAsia="仿宋"/>
          <w:sz w:val="32"/>
          <w:szCs w:val="32"/>
        </w:rPr>
        <w:t>%</w:t>
      </w:r>
      <w:r>
        <w:rPr>
          <w:rFonts w:hint="eastAsia" w:ascii="仿宋" w:hAnsi="仿宋" w:eastAsia="仿宋"/>
          <w:sz w:val="32"/>
          <w:szCs w:val="32"/>
        </w:rPr>
        <w:t>；项目支出1793.46万元，占29.02</w:t>
      </w:r>
      <w:r>
        <w:rPr>
          <w:rFonts w:ascii="仿宋" w:hAnsi="仿宋" w:eastAsia="仿宋"/>
          <w:sz w:val="32"/>
          <w:szCs w:val="32"/>
        </w:rPr>
        <w:t>%</w:t>
      </w:r>
      <w:r>
        <w:rPr>
          <w:rFonts w:hint="eastAsia" w:ascii="仿宋" w:hAnsi="仿宋" w:eastAsia="仿宋"/>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四、财政拨款收入支出预算总体情况说明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cs="仿宋_GB2312"/>
          <w:sz w:val="32"/>
          <w:szCs w:val="32"/>
        </w:rPr>
        <w:t>驻马店市财政局</w:t>
      </w:r>
      <w:r>
        <w:rPr>
          <w:rFonts w:ascii="仿宋" w:hAnsi="仿宋" w:eastAsia="仿宋" w:cs="仿宋_GB2312"/>
          <w:sz w:val="32"/>
          <w:szCs w:val="32"/>
        </w:rPr>
        <w:t>202</w:t>
      </w:r>
      <w:r>
        <w:rPr>
          <w:rFonts w:hint="eastAsia" w:ascii="仿宋" w:hAnsi="仿宋" w:eastAsia="仿宋" w:cs="仿宋_GB2312"/>
          <w:sz w:val="32"/>
          <w:szCs w:val="32"/>
        </w:rPr>
        <w:t>1</w:t>
      </w:r>
      <w:r>
        <w:rPr>
          <w:rFonts w:hint="eastAsia" w:ascii="仿宋" w:hAnsi="仿宋" w:eastAsia="仿宋" w:cs="仿宋_GB2312"/>
          <w:color w:val="000000"/>
          <w:sz w:val="32"/>
          <w:szCs w:val="32"/>
        </w:rPr>
        <w:t>年一般公共预算收支预算6179.22万元。</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20年相比，一般公共预算收支预算</w:t>
      </w:r>
      <w:r>
        <w:rPr>
          <w:rFonts w:hint="eastAsia" w:ascii="仿宋" w:hAnsi="仿宋" w:eastAsia="仿宋" w:cs="仿宋_GB2312"/>
          <w:color w:val="000000"/>
          <w:sz w:val="32"/>
          <w:szCs w:val="32"/>
        </w:rPr>
        <w:t>增加694.58</w:t>
      </w:r>
      <w:r>
        <w:rPr>
          <w:rFonts w:hint="eastAsia" w:ascii="仿宋" w:hAnsi="仿宋" w:eastAsia="仿宋"/>
          <w:sz w:val="32"/>
          <w:szCs w:val="32"/>
        </w:rPr>
        <w:t>万元，</w:t>
      </w:r>
      <w:r>
        <w:rPr>
          <w:rFonts w:hint="eastAsia" w:ascii="仿宋" w:hAnsi="仿宋" w:eastAsia="仿宋" w:cs="仿宋_GB2312"/>
          <w:color w:val="000000"/>
          <w:sz w:val="32"/>
          <w:szCs w:val="32"/>
        </w:rPr>
        <w:t>上升12.66</w:t>
      </w:r>
      <w:r>
        <w:rPr>
          <w:rFonts w:ascii="仿宋" w:hAnsi="仿宋" w:eastAsia="仿宋" w:cs="仿宋_GB2312"/>
          <w:color w:val="000000"/>
          <w:sz w:val="32"/>
          <w:szCs w:val="32"/>
        </w:rPr>
        <w:t>%</w:t>
      </w:r>
      <w:r>
        <w:rPr>
          <w:rFonts w:hint="eastAsia" w:ascii="仿宋" w:hAnsi="仿宋" w:eastAsia="仿宋"/>
          <w:sz w:val="32"/>
          <w:szCs w:val="32"/>
        </w:rPr>
        <w:t>。主要原因是</w:t>
      </w:r>
      <w:r>
        <w:rPr>
          <w:rFonts w:hint="eastAsia" w:ascii="仿宋" w:hAnsi="仿宋" w:eastAsia="仿宋" w:cs="仿宋_GB2312"/>
          <w:color w:val="000000"/>
          <w:sz w:val="32"/>
          <w:szCs w:val="32"/>
        </w:rPr>
        <w:t>项目支出预算有较大增幅</w:t>
      </w:r>
      <w:r>
        <w:rPr>
          <w:rFonts w:hint="eastAsia" w:ascii="仿宋" w:hAnsi="仿宋" w:eastAsia="仿宋"/>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五、一般公共预算支出预算情况说明</w:t>
      </w:r>
    </w:p>
    <w:p>
      <w:pPr>
        <w:spacing w:line="600" w:lineRule="exact"/>
        <w:ind w:firstLine="640" w:firstLineChars="200"/>
        <w:jc w:val="left"/>
        <w:rPr>
          <w:rFonts w:ascii="仿宋" w:hAnsi="仿宋" w:eastAsia="仿宋" w:cs="Times New Roman"/>
          <w:color w:val="000000"/>
          <w:sz w:val="32"/>
          <w:szCs w:val="32"/>
        </w:rPr>
      </w:pPr>
      <w:r>
        <w:rPr>
          <w:rFonts w:hint="eastAsia" w:ascii="仿宋" w:hAnsi="仿宋" w:eastAsia="仿宋" w:cs="仿宋_GB2312"/>
          <w:color w:val="333333"/>
          <w:sz w:val="32"/>
          <w:szCs w:val="32"/>
        </w:rPr>
        <w:t>驻马店市财政局</w:t>
      </w:r>
      <w:r>
        <w:rPr>
          <w:rFonts w:ascii="仿宋" w:hAnsi="仿宋" w:eastAsia="仿宋" w:cs="仿宋_GB2312"/>
          <w:color w:val="333333"/>
          <w:sz w:val="32"/>
          <w:szCs w:val="32"/>
        </w:rPr>
        <w:t>202</w:t>
      </w:r>
      <w:r>
        <w:rPr>
          <w:rFonts w:hint="eastAsia" w:ascii="仿宋" w:hAnsi="仿宋" w:eastAsia="仿宋" w:cs="仿宋_GB2312"/>
          <w:color w:val="333333"/>
          <w:sz w:val="32"/>
          <w:szCs w:val="32"/>
        </w:rPr>
        <w:t>1年一般公共预算支出年初预算为</w:t>
      </w:r>
      <w:r>
        <w:rPr>
          <w:rFonts w:hint="eastAsia" w:ascii="仿宋" w:hAnsi="仿宋" w:eastAsia="仿宋" w:cs="仿宋_GB2312"/>
          <w:color w:val="000000"/>
          <w:sz w:val="32"/>
          <w:szCs w:val="32"/>
        </w:rPr>
        <w:t>6179.22万元。主要用于以下方面：一般公共服务（类）支出5066.29万元，占81.99</w:t>
      </w:r>
      <w:r>
        <w:rPr>
          <w:rFonts w:ascii="仿宋" w:hAnsi="仿宋" w:eastAsia="仿宋" w:cs="仿宋_GB2312"/>
          <w:color w:val="000000"/>
          <w:sz w:val="32"/>
          <w:szCs w:val="32"/>
        </w:rPr>
        <w:t>%</w:t>
      </w:r>
      <w:r>
        <w:rPr>
          <w:rFonts w:hint="eastAsia" w:ascii="仿宋" w:hAnsi="仿宋" w:eastAsia="仿宋" w:cs="仿宋_GB2312"/>
          <w:color w:val="000000"/>
          <w:sz w:val="32"/>
          <w:szCs w:val="32"/>
        </w:rPr>
        <w:t>；社会保障和就业支出709.48万元，占11.48</w:t>
      </w:r>
      <w:r>
        <w:rPr>
          <w:rFonts w:ascii="仿宋" w:hAnsi="仿宋" w:eastAsia="仿宋" w:cs="仿宋_GB2312"/>
          <w:color w:val="000000"/>
          <w:sz w:val="32"/>
          <w:szCs w:val="32"/>
        </w:rPr>
        <w:t>%</w:t>
      </w:r>
      <w:r>
        <w:rPr>
          <w:rFonts w:hint="eastAsia" w:ascii="仿宋" w:hAnsi="仿宋" w:eastAsia="仿宋" w:cs="仿宋_GB2312"/>
          <w:color w:val="000000"/>
          <w:sz w:val="32"/>
          <w:szCs w:val="32"/>
        </w:rPr>
        <w:t>；卫生健康支出226.54万元，占3.67</w:t>
      </w:r>
      <w:r>
        <w:rPr>
          <w:rFonts w:ascii="仿宋" w:hAnsi="仿宋" w:eastAsia="仿宋" w:cs="仿宋_GB2312"/>
          <w:color w:val="000000"/>
          <w:sz w:val="32"/>
          <w:szCs w:val="32"/>
        </w:rPr>
        <w:t>%</w:t>
      </w:r>
      <w:r>
        <w:rPr>
          <w:rFonts w:hint="eastAsia" w:ascii="仿宋" w:hAnsi="仿宋" w:eastAsia="仿宋" w:cs="仿宋_GB2312"/>
          <w:color w:val="000000"/>
          <w:sz w:val="32"/>
          <w:szCs w:val="32"/>
        </w:rPr>
        <w:t>；住房保障支出176.92万元，占2.86</w:t>
      </w:r>
      <w:r>
        <w:rPr>
          <w:rFonts w:ascii="仿宋" w:hAnsi="仿宋" w:eastAsia="仿宋" w:cs="仿宋_GB2312"/>
          <w:color w:val="000000"/>
          <w:sz w:val="32"/>
          <w:szCs w:val="32"/>
        </w:rPr>
        <w:t>%</w:t>
      </w:r>
      <w:r>
        <w:rPr>
          <w:rFonts w:hint="eastAsia" w:ascii="仿宋" w:hAnsi="仿宋" w:eastAsia="仿宋" w:cs="仿宋_GB2312"/>
          <w:color w:val="000000"/>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六、一般公共预算基本支出预算情况说明和支出预算经济分类情况说明</w:t>
      </w:r>
    </w:p>
    <w:p>
      <w:pPr>
        <w:spacing w:line="600" w:lineRule="exact"/>
        <w:ind w:firstLine="640" w:firstLineChars="200"/>
        <w:rPr>
          <w:rFonts w:ascii="黑体" w:hAnsi="黑体" w:eastAsia="黑体"/>
          <w:sz w:val="32"/>
          <w:szCs w:val="32"/>
        </w:rPr>
      </w:pPr>
      <w:r>
        <w:rPr>
          <w:rFonts w:hint="eastAsia" w:eastAsia="仿宋"/>
          <w:sz w:val="32"/>
          <w:szCs w:val="32"/>
        </w:rPr>
        <w:t> </w:t>
      </w:r>
      <w:r>
        <w:rPr>
          <w:rFonts w:hint="eastAsia" w:ascii="仿宋" w:hAnsi="仿宋" w:eastAsia="仿宋"/>
          <w:sz w:val="32"/>
          <w:szCs w:val="32"/>
        </w:rPr>
        <w:t>2021年一般公共预算基本支出4385.76万元，其中：人员经费4042.6万元，主要包括：基本工资、津贴补贴、奖金、其他社会保障缴费、伙食补助费、绩效工资、机关事业单位基本养老保险缴费、职业年金缴费、其他工资福利支出、离休费、退休费、退职（役）费、抚恤金、生活补助、医疗费、助学金、奖励金、生产补贴、住房公积金、提租补贴、购房补贴、采暖补贴、物业服务补贴、其他对个人和家庭的补助支出；公用经费343.16万元，主要包括：办公费、印刷费、咨询费、手续费、水费、电费、邮电费、取暖费、物业管理费、差旅费、因公出国（境）费、维修（护）费、租赁费、会议费、培训费、公务接待费、专用材料费、被装购置费、专用燃料费、劳务费、委托业务费、工会经费、福利费、公务用车运行维护费、其他交通费用、税金及附加费用、其他商品和服务支出、办公设备购置、专用设备购置、大型修缮、信息网络及软件购置更新、其他资本性支出。按照《财政部关于印发&lt;支出经济分类科目改革方案&gt;的通知》（财预〔2017〕98号）要求，从2018年起全面实施支出经济分类科目改革，根据政府预算管理和部门预算管理的不同特点，分设部门预算支出经济分类科目和政府预算支出经济分类科目，两套科目之间保持对应关系。为适应改革要求，我部门《支出经济分类汇总表》由上年仅反映一般公共预算基本支出经济分类科目预算，调整为按两套经济分类科目分别反映不同资金来源的全部预算支出。</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七、政府性基金预算支出</w:t>
      </w:r>
      <w:r>
        <w:rPr>
          <w:rFonts w:hint="eastAsia" w:ascii="黑体" w:hAnsi="黑体" w:eastAsia="黑体"/>
          <w:sz w:val="32"/>
          <w:szCs w:val="32"/>
          <w:lang w:eastAsia="zh-CN"/>
        </w:rPr>
        <w:t>预</w:t>
      </w:r>
      <w:r>
        <w:rPr>
          <w:rFonts w:hint="eastAsia" w:ascii="黑体" w:hAnsi="黑体" w:eastAsia="黑体"/>
          <w:sz w:val="32"/>
          <w:szCs w:val="32"/>
        </w:rPr>
        <w:t>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我局</w:t>
      </w:r>
      <w:r>
        <w:rPr>
          <w:rFonts w:ascii="仿宋" w:hAnsi="仿宋" w:eastAsia="仿宋"/>
          <w:sz w:val="32"/>
          <w:szCs w:val="32"/>
        </w:rPr>
        <w:t>202</w:t>
      </w:r>
      <w:r>
        <w:rPr>
          <w:rFonts w:hint="eastAsia" w:ascii="仿宋" w:hAnsi="仿宋" w:eastAsia="仿宋"/>
          <w:sz w:val="32"/>
          <w:szCs w:val="32"/>
        </w:rPr>
        <w:t>1年无使用政府性基金预算拨款安排的支出。</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八、“三公”经费支出预算情况说明</w:t>
      </w:r>
    </w:p>
    <w:p>
      <w:pPr>
        <w:spacing w:line="600" w:lineRule="exact"/>
        <w:ind w:firstLine="640" w:firstLineChars="200"/>
        <w:rPr>
          <w:rFonts w:ascii="仿宋" w:hAnsi="仿宋" w:eastAsia="仿宋" w:cs="Times New Roman"/>
          <w:sz w:val="32"/>
          <w:szCs w:val="32"/>
        </w:rPr>
      </w:pPr>
      <w:r>
        <w:rPr>
          <w:rFonts w:hint="eastAsia" w:ascii="仿宋" w:hAnsi="仿宋" w:eastAsia="仿宋"/>
          <w:sz w:val="32"/>
          <w:szCs w:val="32"/>
        </w:rPr>
        <w:t>我局</w:t>
      </w:r>
      <w:r>
        <w:rPr>
          <w:rFonts w:ascii="仿宋" w:hAnsi="仿宋" w:eastAsia="仿宋"/>
          <w:sz w:val="32"/>
          <w:szCs w:val="32"/>
        </w:rPr>
        <w:t>202</w:t>
      </w:r>
      <w:r>
        <w:rPr>
          <w:rFonts w:hint="eastAsia" w:ascii="仿宋" w:hAnsi="仿宋" w:eastAsia="仿宋"/>
          <w:sz w:val="32"/>
          <w:szCs w:val="32"/>
        </w:rPr>
        <w:t>1年“三公”经费预算为23.4万元。2021年“三公”经费支出预算数比</w:t>
      </w:r>
      <w:r>
        <w:rPr>
          <w:rFonts w:ascii="仿宋" w:hAnsi="仿宋" w:eastAsia="仿宋"/>
          <w:sz w:val="32"/>
          <w:szCs w:val="32"/>
        </w:rPr>
        <w:t>2</w:t>
      </w:r>
      <w:r>
        <w:rPr>
          <w:rFonts w:hint="eastAsia" w:ascii="仿宋" w:hAnsi="仿宋" w:eastAsia="仿宋"/>
          <w:sz w:val="32"/>
          <w:szCs w:val="32"/>
        </w:rPr>
        <w:t>020年减少13.1万元，下降了35.89</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cs="仿宋_GB2312"/>
          <w:sz w:val="32"/>
          <w:szCs w:val="32"/>
        </w:rPr>
        <w:t>主要原因是</w:t>
      </w:r>
      <w:r>
        <w:rPr>
          <w:rFonts w:hint="eastAsia" w:ascii="仿宋" w:hAnsi="仿宋" w:eastAsia="仿宋"/>
          <w:sz w:val="32"/>
          <w:szCs w:val="32"/>
        </w:rPr>
        <w:t>加强出国经费管理，对出国经费进行压缩。落实公车改革政策，加强公务用车管理，严控公务用车支出。</w:t>
      </w:r>
      <w:r>
        <w:rPr>
          <w:rFonts w:hint="eastAsia" w:ascii="仿宋" w:hAnsi="仿宋" w:eastAsia="仿宋" w:cs="仿宋_GB2312"/>
          <w:sz w:val="32"/>
          <w:szCs w:val="32"/>
        </w:rPr>
        <w:t>严格执行《党政机关国内公务接待管理规定》等办法，不断规范公务接待管理，严格接待审批控制，厉行勤俭节约，不断压缩公务接待费支出。</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具体支出情况如下：</w:t>
      </w:r>
    </w:p>
    <w:p>
      <w:pPr>
        <w:spacing w:line="600" w:lineRule="exact"/>
        <w:ind w:firstLine="643" w:firstLineChars="200"/>
        <w:rPr>
          <w:rFonts w:ascii="仿宋" w:hAnsi="仿宋" w:eastAsia="仿宋"/>
          <w:sz w:val="32"/>
          <w:szCs w:val="32"/>
        </w:rPr>
      </w:pPr>
      <w:r>
        <w:rPr>
          <w:rFonts w:hint="eastAsia" w:ascii="仿宋" w:hAnsi="仿宋" w:eastAsia="仿宋"/>
          <w:b/>
          <w:sz w:val="32"/>
          <w:szCs w:val="32"/>
        </w:rPr>
        <w:t>（一）因公出国</w:t>
      </w:r>
      <w:r>
        <w:rPr>
          <w:rFonts w:ascii="仿宋" w:hAnsi="仿宋" w:eastAsia="仿宋"/>
          <w:b/>
          <w:sz w:val="32"/>
          <w:szCs w:val="32"/>
        </w:rPr>
        <w:t>(</w:t>
      </w:r>
      <w:r>
        <w:rPr>
          <w:rFonts w:hint="eastAsia" w:ascii="仿宋" w:hAnsi="仿宋" w:eastAsia="仿宋"/>
          <w:b/>
          <w:sz w:val="32"/>
          <w:szCs w:val="32"/>
        </w:rPr>
        <w:t>境</w:t>
      </w:r>
      <w:r>
        <w:rPr>
          <w:rFonts w:ascii="仿宋" w:hAnsi="仿宋" w:eastAsia="仿宋"/>
          <w:b/>
          <w:sz w:val="32"/>
          <w:szCs w:val="32"/>
        </w:rPr>
        <w:t>)</w:t>
      </w:r>
      <w:r>
        <w:rPr>
          <w:rFonts w:hint="eastAsia" w:ascii="仿宋" w:hAnsi="仿宋" w:eastAsia="仿宋"/>
          <w:b/>
          <w:sz w:val="32"/>
          <w:szCs w:val="32"/>
        </w:rPr>
        <w:t>费0万元，</w:t>
      </w:r>
      <w:r>
        <w:rPr>
          <w:rFonts w:hint="eastAsia" w:ascii="仿宋" w:hAnsi="仿宋" w:eastAsia="仿宋"/>
          <w:sz w:val="32"/>
          <w:szCs w:val="32"/>
        </w:rPr>
        <w:t>主要用于单位工作人员公务出国（境）的住宿费、旅费、伙食补助费、杂费、培训费等支出。我局</w:t>
      </w:r>
      <w:r>
        <w:rPr>
          <w:rFonts w:ascii="仿宋" w:hAnsi="仿宋" w:eastAsia="仿宋"/>
          <w:sz w:val="32"/>
          <w:szCs w:val="32"/>
        </w:rPr>
        <w:t>202</w:t>
      </w:r>
      <w:r>
        <w:rPr>
          <w:rFonts w:hint="eastAsia" w:ascii="仿宋" w:hAnsi="仿宋" w:eastAsia="仿宋"/>
          <w:sz w:val="32"/>
          <w:szCs w:val="32"/>
        </w:rPr>
        <w:t>1年没有安排因公出国（境）费用的收入和支出预算。预算数与</w:t>
      </w:r>
      <w:r>
        <w:rPr>
          <w:rFonts w:ascii="仿宋" w:hAnsi="仿宋" w:eastAsia="仿宋"/>
          <w:sz w:val="32"/>
          <w:szCs w:val="32"/>
        </w:rPr>
        <w:t>20</w:t>
      </w:r>
      <w:r>
        <w:rPr>
          <w:rFonts w:hint="eastAsia" w:ascii="仿宋" w:hAnsi="仿宋" w:eastAsia="仿宋"/>
          <w:sz w:val="32"/>
          <w:szCs w:val="32"/>
        </w:rPr>
        <w:t>20年持平。主要原因是加强出国经费管理，对出国经费进行压缩。</w:t>
      </w:r>
    </w:p>
    <w:p>
      <w:pPr>
        <w:spacing w:line="600" w:lineRule="exact"/>
        <w:ind w:firstLine="643" w:firstLineChars="200"/>
        <w:rPr>
          <w:rFonts w:ascii="仿宋" w:hAnsi="仿宋" w:eastAsia="仿宋"/>
          <w:sz w:val="32"/>
          <w:szCs w:val="32"/>
        </w:rPr>
      </w:pPr>
      <w:r>
        <w:rPr>
          <w:rFonts w:hint="eastAsia" w:ascii="仿宋" w:hAnsi="仿宋" w:eastAsia="仿宋"/>
          <w:b/>
          <w:sz w:val="32"/>
          <w:szCs w:val="32"/>
        </w:rPr>
        <w:t>（二）公务用车购置及运行费11.3万元</w:t>
      </w:r>
      <w:r>
        <w:rPr>
          <w:rFonts w:hint="eastAsia" w:ascii="仿宋" w:hAnsi="仿宋" w:eastAsia="仿宋"/>
          <w:sz w:val="32"/>
          <w:szCs w:val="32"/>
        </w:rPr>
        <w:t>，主要用于开展工作所需公务用车的燃料费、维修费、过路过桥费、保险费、安全奖励费用等支出。其中公务用车购置费预算0万元，比2020年减少0万元，主要原因是我局</w:t>
      </w:r>
      <w:r>
        <w:rPr>
          <w:rFonts w:ascii="仿宋" w:hAnsi="仿宋" w:eastAsia="仿宋"/>
          <w:sz w:val="32"/>
          <w:szCs w:val="32"/>
        </w:rPr>
        <w:t>20</w:t>
      </w:r>
      <w:r>
        <w:rPr>
          <w:rFonts w:hint="eastAsia" w:ascii="仿宋" w:hAnsi="仿宋" w:eastAsia="仿宋"/>
          <w:sz w:val="32"/>
          <w:szCs w:val="32"/>
        </w:rPr>
        <w:t>20年和</w:t>
      </w:r>
      <w:r>
        <w:rPr>
          <w:rFonts w:ascii="仿宋" w:hAnsi="仿宋" w:eastAsia="仿宋"/>
          <w:sz w:val="32"/>
          <w:szCs w:val="32"/>
        </w:rPr>
        <w:t>202</w:t>
      </w:r>
      <w:r>
        <w:rPr>
          <w:rFonts w:hint="eastAsia" w:ascii="仿宋" w:hAnsi="仿宋" w:eastAsia="仿宋"/>
          <w:sz w:val="32"/>
          <w:szCs w:val="32"/>
        </w:rPr>
        <w:t>1年均无公务用车购置费预算。公务用车运行维护费预算为11.3万元，比</w:t>
      </w:r>
      <w:r>
        <w:rPr>
          <w:rFonts w:ascii="仿宋" w:hAnsi="仿宋" w:eastAsia="仿宋"/>
          <w:sz w:val="32"/>
          <w:szCs w:val="32"/>
        </w:rPr>
        <w:t>20</w:t>
      </w:r>
      <w:r>
        <w:rPr>
          <w:rFonts w:hint="eastAsia" w:ascii="仿宋" w:hAnsi="仿宋" w:eastAsia="仿宋"/>
          <w:sz w:val="32"/>
          <w:szCs w:val="32"/>
        </w:rPr>
        <w:t>20年减少8.4万元，下降了42.64</w:t>
      </w:r>
      <w:r>
        <w:rPr>
          <w:rFonts w:ascii="仿宋" w:hAnsi="仿宋" w:eastAsia="仿宋"/>
          <w:sz w:val="32"/>
          <w:szCs w:val="32"/>
        </w:rPr>
        <w:t>%</w:t>
      </w:r>
      <w:r>
        <w:rPr>
          <w:rFonts w:hint="eastAsia" w:ascii="仿宋" w:hAnsi="仿宋" w:eastAsia="仿宋"/>
          <w:sz w:val="32"/>
          <w:szCs w:val="32"/>
        </w:rPr>
        <w:t>，主要原因是落实公车改革政策，加强公务用车管理，严控公务用车支出。</w:t>
      </w:r>
      <w:bookmarkStart w:id="0" w:name="_GoBack"/>
      <w:bookmarkEnd w:id="0"/>
    </w:p>
    <w:p>
      <w:pPr>
        <w:spacing w:line="600" w:lineRule="exact"/>
        <w:ind w:firstLine="643" w:firstLineChars="200"/>
        <w:rPr>
          <w:rFonts w:ascii="仿宋" w:hAnsi="仿宋" w:eastAsia="仿宋" w:cs="Times New Roman"/>
          <w:sz w:val="32"/>
          <w:szCs w:val="32"/>
        </w:rPr>
      </w:pPr>
      <w:r>
        <w:rPr>
          <w:rFonts w:hint="eastAsia" w:ascii="仿宋" w:hAnsi="仿宋" w:eastAsia="仿宋"/>
          <w:b/>
          <w:sz w:val="32"/>
          <w:szCs w:val="32"/>
        </w:rPr>
        <w:t>（三）公务接待费12.1万元，</w:t>
      </w:r>
      <w:r>
        <w:rPr>
          <w:rFonts w:hint="eastAsia" w:ascii="仿宋" w:hAnsi="仿宋" w:eastAsia="仿宋"/>
          <w:sz w:val="32"/>
          <w:szCs w:val="32"/>
        </w:rPr>
        <w:t>主要用于按规定开支的各类公务接待支出。预算数比</w:t>
      </w:r>
      <w:r>
        <w:rPr>
          <w:rFonts w:ascii="仿宋" w:hAnsi="仿宋" w:eastAsia="仿宋"/>
          <w:sz w:val="32"/>
          <w:szCs w:val="32"/>
        </w:rPr>
        <w:t>20</w:t>
      </w:r>
      <w:r>
        <w:rPr>
          <w:rFonts w:hint="eastAsia" w:ascii="仿宋" w:hAnsi="仿宋" w:eastAsia="仿宋"/>
          <w:sz w:val="32"/>
          <w:szCs w:val="32"/>
        </w:rPr>
        <w:t>20年减少4.7万元，下降了27.98</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cs="仿宋_GB2312"/>
          <w:sz w:val="32"/>
          <w:szCs w:val="32"/>
        </w:rPr>
        <w:t>主要原因是严格执行《党政机关国内公务接待管理规定》等办法，不断规范公务接待管理，严格接待审批控制，厉行勤俭节约，不断压缩公务接待费支出。</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九、其他重要事项的情况说明</w:t>
      </w:r>
    </w:p>
    <w:p>
      <w:pPr>
        <w:spacing w:line="600" w:lineRule="exact"/>
        <w:ind w:firstLine="643" w:firstLineChars="200"/>
        <w:rPr>
          <w:rFonts w:ascii="仿宋" w:hAnsi="仿宋" w:eastAsia="仿宋"/>
          <w:b/>
          <w:sz w:val="32"/>
          <w:szCs w:val="32"/>
        </w:rPr>
      </w:pPr>
      <w:r>
        <w:rPr>
          <w:rFonts w:hint="eastAsia" w:ascii="仿宋" w:hAnsi="仿宋" w:eastAsia="仿宋"/>
          <w:b/>
          <w:sz w:val="32"/>
          <w:szCs w:val="32"/>
        </w:rPr>
        <w:t>（一）机关运行经费支出情况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驻马店市财政局</w:t>
      </w:r>
      <w:r>
        <w:rPr>
          <w:rFonts w:ascii="仿宋" w:hAnsi="仿宋" w:eastAsia="仿宋"/>
          <w:sz w:val="32"/>
          <w:szCs w:val="32"/>
        </w:rPr>
        <w:t>202</w:t>
      </w:r>
      <w:r>
        <w:rPr>
          <w:rFonts w:hint="eastAsia" w:ascii="仿宋" w:hAnsi="仿宋" w:eastAsia="仿宋"/>
          <w:sz w:val="32"/>
          <w:szCs w:val="32"/>
        </w:rPr>
        <w:t>1年机关运行经费支出预算为343.16万元，主要保障机构正常运转及政策履职需要。</w:t>
      </w:r>
    </w:p>
    <w:p>
      <w:pPr>
        <w:spacing w:line="600" w:lineRule="exact"/>
        <w:ind w:firstLine="630" w:firstLineChars="196"/>
        <w:rPr>
          <w:rFonts w:ascii="仿宋" w:hAnsi="仿宋" w:eastAsia="仿宋"/>
          <w:b/>
          <w:sz w:val="32"/>
          <w:szCs w:val="32"/>
        </w:rPr>
      </w:pPr>
      <w:r>
        <w:rPr>
          <w:rFonts w:hint="eastAsia" w:ascii="仿宋" w:hAnsi="仿宋" w:eastAsia="仿宋"/>
          <w:b/>
          <w:sz w:val="32"/>
          <w:szCs w:val="32"/>
        </w:rPr>
        <w:t>（二）政府采购支出情况</w:t>
      </w:r>
    </w:p>
    <w:p>
      <w:pPr>
        <w:spacing w:line="600" w:lineRule="exact"/>
        <w:ind w:firstLine="640" w:firstLineChars="200"/>
        <w:rPr>
          <w:rFonts w:ascii="仿宋" w:hAnsi="仿宋" w:eastAsia="仿宋"/>
          <w:sz w:val="32"/>
          <w:szCs w:val="32"/>
        </w:rPr>
      </w:pPr>
      <w:r>
        <w:rPr>
          <w:rFonts w:ascii="仿宋" w:hAnsi="仿宋" w:eastAsia="仿宋"/>
          <w:sz w:val="32"/>
          <w:szCs w:val="32"/>
        </w:rPr>
        <w:t>202</w:t>
      </w:r>
      <w:r>
        <w:rPr>
          <w:rFonts w:hint="eastAsia" w:ascii="仿宋" w:hAnsi="仿宋" w:eastAsia="仿宋"/>
          <w:sz w:val="32"/>
          <w:szCs w:val="32"/>
        </w:rPr>
        <w:t>1年政府采购预算安排1257.63万元，其中：政府采购货物预算285.69万元，政府采购服务预算971.94万元。</w:t>
      </w:r>
    </w:p>
    <w:p>
      <w:pPr>
        <w:spacing w:line="600" w:lineRule="exact"/>
        <w:ind w:firstLine="630" w:firstLineChars="196"/>
        <w:rPr>
          <w:rFonts w:ascii="仿宋" w:hAnsi="仿宋" w:eastAsia="仿宋"/>
          <w:b/>
          <w:sz w:val="32"/>
          <w:szCs w:val="32"/>
        </w:rPr>
      </w:pPr>
      <w:r>
        <w:rPr>
          <w:rFonts w:hint="eastAsia" w:ascii="仿宋" w:hAnsi="仿宋" w:eastAsia="仿宋"/>
          <w:b/>
          <w:sz w:val="32"/>
          <w:szCs w:val="32"/>
        </w:rPr>
        <w:t>（三）绩效目标设置情况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我局2021年预算项目均按要求编制了绩效目标，从项目产出、项目效益、满意度等方面设置了绩效指标，综合反映项目预期完成的数量、实效、质量、预期达到的社会经济效益、可持续影响以及服务对象满意度等情况。</w:t>
      </w:r>
    </w:p>
    <w:p>
      <w:pPr>
        <w:spacing w:line="600" w:lineRule="exact"/>
        <w:ind w:firstLine="630" w:firstLineChars="196"/>
        <w:rPr>
          <w:rFonts w:ascii="仿宋" w:hAnsi="仿宋" w:eastAsia="仿宋"/>
          <w:b/>
          <w:sz w:val="32"/>
          <w:szCs w:val="32"/>
        </w:rPr>
      </w:pPr>
      <w:r>
        <w:rPr>
          <w:rFonts w:hint="eastAsia" w:ascii="仿宋" w:hAnsi="仿宋" w:eastAsia="仿宋"/>
          <w:b/>
          <w:sz w:val="32"/>
          <w:szCs w:val="32"/>
        </w:rPr>
        <w:t>（四）国有资产占用情况</w:t>
      </w:r>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20年期末，我局共有车辆6辆，其中：一般公务用车6辆、一般执法执勤用车0辆、其他用车0辆，其他用车主要是机要通信用车0辆、应急车辆0辆、老干部用车0辆；单价</w:t>
      </w:r>
      <w:r>
        <w:rPr>
          <w:rFonts w:ascii="仿宋" w:hAnsi="仿宋" w:eastAsia="仿宋"/>
          <w:sz w:val="32"/>
          <w:szCs w:val="32"/>
        </w:rPr>
        <w:t>50</w:t>
      </w:r>
      <w:r>
        <w:rPr>
          <w:rFonts w:hint="eastAsia" w:ascii="仿宋" w:hAnsi="仿宋" w:eastAsia="仿宋"/>
          <w:sz w:val="32"/>
          <w:szCs w:val="32"/>
        </w:rPr>
        <w:t>万元以上通用设备2套，单位价值</w:t>
      </w:r>
      <w:r>
        <w:rPr>
          <w:rFonts w:ascii="仿宋" w:hAnsi="仿宋" w:eastAsia="仿宋"/>
          <w:sz w:val="32"/>
          <w:szCs w:val="32"/>
        </w:rPr>
        <w:t>100</w:t>
      </w:r>
      <w:r>
        <w:rPr>
          <w:rFonts w:hint="eastAsia" w:ascii="仿宋" w:hAnsi="仿宋" w:eastAsia="仿宋"/>
          <w:sz w:val="32"/>
          <w:szCs w:val="32"/>
        </w:rPr>
        <w:t>万元以上专用设备0套。</w:t>
      </w:r>
    </w:p>
    <w:p>
      <w:pPr>
        <w:spacing w:line="600" w:lineRule="exact"/>
        <w:ind w:firstLine="630" w:firstLineChars="196"/>
        <w:rPr>
          <w:rFonts w:ascii="仿宋" w:hAnsi="仿宋" w:eastAsia="仿宋"/>
          <w:b/>
          <w:sz w:val="32"/>
          <w:szCs w:val="32"/>
        </w:rPr>
      </w:pPr>
      <w:r>
        <w:rPr>
          <w:rFonts w:hint="eastAsia" w:ascii="仿宋" w:hAnsi="仿宋" w:eastAsia="仿宋"/>
          <w:b/>
          <w:sz w:val="32"/>
          <w:szCs w:val="32"/>
        </w:rPr>
        <w:t>（五）专项转移支付项目情况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我局无负责参与管理的专项转移支付项目。</w:t>
      </w: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jc w:val="center"/>
        <w:rPr>
          <w:rFonts w:ascii="黑体" w:hAnsi="黑体" w:eastAsia="黑体"/>
          <w:sz w:val="36"/>
          <w:szCs w:val="36"/>
        </w:rPr>
      </w:pPr>
    </w:p>
    <w:p>
      <w:pPr>
        <w:spacing w:line="600" w:lineRule="exact"/>
        <w:jc w:val="center"/>
        <w:rPr>
          <w:rFonts w:ascii="黑体" w:hAnsi="黑体" w:eastAsia="黑体"/>
          <w:sz w:val="36"/>
          <w:szCs w:val="36"/>
        </w:rPr>
      </w:pPr>
    </w:p>
    <w:p>
      <w:pPr>
        <w:spacing w:line="600" w:lineRule="exact"/>
        <w:jc w:val="center"/>
        <w:rPr>
          <w:rFonts w:ascii="黑体" w:hAnsi="黑体" w:eastAsia="黑体"/>
          <w:sz w:val="36"/>
          <w:szCs w:val="36"/>
        </w:rPr>
      </w:pPr>
    </w:p>
    <w:p>
      <w:pPr>
        <w:spacing w:line="600" w:lineRule="exact"/>
        <w:jc w:val="center"/>
        <w:rPr>
          <w:rFonts w:ascii="黑体" w:hAnsi="黑体" w:eastAsia="黑体"/>
          <w:sz w:val="36"/>
          <w:szCs w:val="36"/>
        </w:rPr>
      </w:pPr>
    </w:p>
    <w:p>
      <w:pPr>
        <w:spacing w:line="600" w:lineRule="exact"/>
        <w:jc w:val="center"/>
        <w:rPr>
          <w:rFonts w:ascii="黑体" w:hAnsi="黑体" w:eastAsia="黑体"/>
          <w:sz w:val="36"/>
          <w:szCs w:val="36"/>
        </w:rPr>
      </w:pPr>
    </w:p>
    <w:p>
      <w:pPr>
        <w:spacing w:line="600" w:lineRule="exact"/>
        <w:jc w:val="center"/>
        <w:rPr>
          <w:rFonts w:ascii="黑体" w:hAnsi="黑体" w:eastAsia="黑体"/>
          <w:sz w:val="36"/>
          <w:szCs w:val="36"/>
        </w:rPr>
      </w:pPr>
    </w:p>
    <w:p>
      <w:pPr>
        <w:spacing w:line="600" w:lineRule="exact"/>
        <w:jc w:val="center"/>
        <w:rPr>
          <w:rFonts w:ascii="黑体" w:hAnsi="黑体" w:eastAsia="黑体"/>
          <w:sz w:val="36"/>
          <w:szCs w:val="36"/>
        </w:rPr>
      </w:pPr>
    </w:p>
    <w:p>
      <w:pPr>
        <w:spacing w:line="600" w:lineRule="exact"/>
        <w:jc w:val="center"/>
        <w:rPr>
          <w:rFonts w:ascii="黑体" w:hAnsi="黑体" w:eastAsia="黑体"/>
          <w:sz w:val="36"/>
          <w:szCs w:val="36"/>
        </w:rPr>
      </w:pPr>
    </w:p>
    <w:p>
      <w:pPr>
        <w:spacing w:line="600" w:lineRule="exact"/>
        <w:jc w:val="center"/>
        <w:rPr>
          <w:rFonts w:ascii="黑体" w:hAnsi="黑体" w:eastAsia="黑体"/>
          <w:sz w:val="36"/>
          <w:szCs w:val="36"/>
        </w:rPr>
      </w:pPr>
    </w:p>
    <w:p>
      <w:pPr>
        <w:spacing w:line="600" w:lineRule="exact"/>
        <w:jc w:val="center"/>
        <w:rPr>
          <w:rFonts w:ascii="黑体" w:hAnsi="黑体" w:eastAsia="黑体"/>
          <w:sz w:val="36"/>
          <w:szCs w:val="36"/>
        </w:rPr>
      </w:pPr>
      <w:r>
        <w:rPr>
          <w:rFonts w:hint="eastAsia" w:ascii="黑体" w:hAnsi="黑体" w:eastAsia="黑体"/>
          <w:sz w:val="36"/>
          <w:szCs w:val="36"/>
        </w:rPr>
        <w:t>第三部分</w:t>
      </w:r>
    </w:p>
    <w:p>
      <w:pPr>
        <w:spacing w:line="600" w:lineRule="exact"/>
        <w:jc w:val="center"/>
        <w:rPr>
          <w:rFonts w:ascii="黑体" w:hAnsi="黑体" w:eastAsia="黑体"/>
          <w:sz w:val="36"/>
          <w:szCs w:val="36"/>
        </w:rPr>
      </w:pPr>
      <w:r>
        <w:rPr>
          <w:rFonts w:hint="eastAsia" w:ascii="黑体" w:hAnsi="黑体" w:eastAsia="黑体"/>
          <w:sz w:val="36"/>
          <w:szCs w:val="36"/>
        </w:rPr>
        <w:t>名词解释</w:t>
      </w:r>
    </w:p>
    <w:p>
      <w:pPr>
        <w:spacing w:line="600" w:lineRule="exact"/>
        <w:jc w:val="center"/>
        <w:rPr>
          <w:rFonts w:ascii="黑体" w:hAnsi="黑体" w:eastAsia="黑体"/>
          <w:sz w:val="36"/>
          <w:szCs w:val="36"/>
        </w:rPr>
      </w:pP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一、财政拨款收入：是指市级财政当年拨付的资金。</w:t>
      </w:r>
    </w:p>
    <w:p>
      <w:pPr>
        <w:kinsoku w:val="0"/>
        <w:overflowPunct w:val="0"/>
        <w:autoSpaceDE w:val="0"/>
        <w:autoSpaceDN w:val="0"/>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二、事业收入:是指事业单位开展专业活动及辅助活动所取得的收入。</w:t>
      </w:r>
    </w:p>
    <w:p>
      <w:pPr>
        <w:kinsoku w:val="0"/>
        <w:overflowPunct w:val="0"/>
        <w:autoSpaceDE w:val="0"/>
        <w:autoSpaceDN w:val="0"/>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三、其他收入：是指部门取得的除“财政拨款”、“事业收入”、“事业单位经营收入”等以外的收入。</w:t>
      </w:r>
    </w:p>
    <w:p>
      <w:pPr>
        <w:kinsoku w:val="0"/>
        <w:overflowPunct w:val="0"/>
        <w:autoSpaceDE w:val="0"/>
        <w:autoSpaceDN w:val="0"/>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五、基本支出：是指为保障机构正常运转、完成日常工作任务所必需的开支，其内容包括人员经费和日常公用经费两部分。</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六、项目支出：是指在基本支出之外，为完成特定的行政工作任务或事业发展目标所发生的支出。</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七、“三公”经费：是指纳入市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adjustRightInd w:val="0"/>
        <w:snapToGrid w:val="0"/>
        <w:spacing w:line="600" w:lineRule="exact"/>
        <w:rPr>
          <w:rFonts w:ascii="仿宋" w:hAnsi="仿宋" w:eastAsia="仿宋" w:cs="Times New Roman"/>
          <w:sz w:val="32"/>
          <w:szCs w:val="32"/>
        </w:rPr>
      </w:pPr>
    </w:p>
    <w:p>
      <w:pPr>
        <w:adjustRightInd w:val="0"/>
        <w:snapToGrid w:val="0"/>
        <w:spacing w:line="600" w:lineRule="exact"/>
        <w:rPr>
          <w:rFonts w:ascii="黑体" w:hAnsi="黑体" w:eastAsia="黑体" w:cs="Times New Roman"/>
          <w:sz w:val="32"/>
          <w:szCs w:val="32"/>
        </w:rPr>
      </w:pPr>
      <w:r>
        <w:rPr>
          <w:rFonts w:hint="eastAsia" w:ascii="黑体" w:hAnsi="黑体" w:eastAsia="黑体" w:cs="黑体"/>
          <w:sz w:val="32"/>
          <w:szCs w:val="32"/>
        </w:rPr>
        <w:t>附件：</w:t>
      </w:r>
    </w:p>
    <w:p>
      <w:pPr>
        <w:adjustRightInd w:val="0"/>
        <w:snapToGrid w:val="0"/>
        <w:spacing w:line="600" w:lineRule="exact"/>
        <w:jc w:val="center"/>
        <w:rPr>
          <w:rFonts w:ascii="黑体" w:hAnsi="黑体" w:eastAsia="黑体" w:cs="Times New Roman"/>
          <w:sz w:val="32"/>
          <w:szCs w:val="32"/>
        </w:rPr>
      </w:pPr>
      <w:r>
        <w:rPr>
          <w:rFonts w:hint="eastAsia" w:ascii="黑体" w:hAnsi="黑体" w:eastAsia="黑体" w:cs="黑体"/>
          <w:sz w:val="32"/>
          <w:szCs w:val="32"/>
        </w:rPr>
        <w:t>驻马店市财政局</w:t>
      </w:r>
      <w:r>
        <w:rPr>
          <w:rFonts w:ascii="黑体" w:hAnsi="黑体" w:eastAsia="黑体" w:cs="黑体"/>
          <w:sz w:val="32"/>
          <w:szCs w:val="32"/>
        </w:rPr>
        <w:t>20</w:t>
      </w:r>
      <w:r>
        <w:rPr>
          <w:rFonts w:hint="eastAsia" w:ascii="黑体" w:hAnsi="黑体" w:eastAsia="黑体" w:cs="黑体"/>
          <w:sz w:val="32"/>
          <w:szCs w:val="32"/>
        </w:rPr>
        <w:t>21年度部门预算表</w:t>
      </w:r>
    </w:p>
    <w:p>
      <w:pPr>
        <w:spacing w:line="600" w:lineRule="exact"/>
      </w:pPr>
    </w:p>
    <w:sectPr>
      <w:pgSz w:w="11906" w:h="16838"/>
      <w:pgMar w:top="1440" w:right="1474"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6E0A"/>
    <w:rsid w:val="00024F6B"/>
    <w:rsid w:val="0003744E"/>
    <w:rsid w:val="00046304"/>
    <w:rsid w:val="00081A39"/>
    <w:rsid w:val="00082E97"/>
    <w:rsid w:val="00092293"/>
    <w:rsid w:val="000A57D3"/>
    <w:rsid w:val="000A793C"/>
    <w:rsid w:val="000B2C71"/>
    <w:rsid w:val="000D2EF0"/>
    <w:rsid w:val="000E1E98"/>
    <w:rsid w:val="000F00F0"/>
    <w:rsid w:val="000F07CF"/>
    <w:rsid w:val="00103B01"/>
    <w:rsid w:val="00130D39"/>
    <w:rsid w:val="00132510"/>
    <w:rsid w:val="00135319"/>
    <w:rsid w:val="00157DC9"/>
    <w:rsid w:val="00164490"/>
    <w:rsid w:val="0016485B"/>
    <w:rsid w:val="00174BB7"/>
    <w:rsid w:val="00197F39"/>
    <w:rsid w:val="001D3474"/>
    <w:rsid w:val="001F0097"/>
    <w:rsid w:val="001F0DC7"/>
    <w:rsid w:val="001F3EA8"/>
    <w:rsid w:val="0025547E"/>
    <w:rsid w:val="00267A52"/>
    <w:rsid w:val="00277F07"/>
    <w:rsid w:val="00281F39"/>
    <w:rsid w:val="00282C62"/>
    <w:rsid w:val="00283D13"/>
    <w:rsid w:val="002A5C59"/>
    <w:rsid w:val="002C63F2"/>
    <w:rsid w:val="00313C25"/>
    <w:rsid w:val="00321C62"/>
    <w:rsid w:val="00322205"/>
    <w:rsid w:val="00357CD3"/>
    <w:rsid w:val="0036123C"/>
    <w:rsid w:val="0036405E"/>
    <w:rsid w:val="00380842"/>
    <w:rsid w:val="00394026"/>
    <w:rsid w:val="003B307C"/>
    <w:rsid w:val="003D2251"/>
    <w:rsid w:val="003D4C02"/>
    <w:rsid w:val="003D4DA1"/>
    <w:rsid w:val="003F281A"/>
    <w:rsid w:val="003F6FA5"/>
    <w:rsid w:val="00402A63"/>
    <w:rsid w:val="004059A2"/>
    <w:rsid w:val="00413874"/>
    <w:rsid w:val="0041494C"/>
    <w:rsid w:val="00425830"/>
    <w:rsid w:val="004402A9"/>
    <w:rsid w:val="00440E08"/>
    <w:rsid w:val="0044221E"/>
    <w:rsid w:val="00445854"/>
    <w:rsid w:val="004523F4"/>
    <w:rsid w:val="00475A3F"/>
    <w:rsid w:val="00485E69"/>
    <w:rsid w:val="00486CF5"/>
    <w:rsid w:val="00495029"/>
    <w:rsid w:val="004B1C7F"/>
    <w:rsid w:val="004B2AB1"/>
    <w:rsid w:val="004B5AC1"/>
    <w:rsid w:val="004D3E72"/>
    <w:rsid w:val="00517F70"/>
    <w:rsid w:val="00520079"/>
    <w:rsid w:val="00520C68"/>
    <w:rsid w:val="005458CE"/>
    <w:rsid w:val="00547FA8"/>
    <w:rsid w:val="005653F6"/>
    <w:rsid w:val="00574E19"/>
    <w:rsid w:val="00593ACE"/>
    <w:rsid w:val="00594B0A"/>
    <w:rsid w:val="005A7D02"/>
    <w:rsid w:val="005C73B8"/>
    <w:rsid w:val="00624C7A"/>
    <w:rsid w:val="00655743"/>
    <w:rsid w:val="00660C03"/>
    <w:rsid w:val="00676BA6"/>
    <w:rsid w:val="00691D56"/>
    <w:rsid w:val="00697E78"/>
    <w:rsid w:val="006A220B"/>
    <w:rsid w:val="006B3606"/>
    <w:rsid w:val="006B3FE3"/>
    <w:rsid w:val="006F24EE"/>
    <w:rsid w:val="00700239"/>
    <w:rsid w:val="00700B9A"/>
    <w:rsid w:val="007136D4"/>
    <w:rsid w:val="00731E32"/>
    <w:rsid w:val="00737C3B"/>
    <w:rsid w:val="00755247"/>
    <w:rsid w:val="0076118A"/>
    <w:rsid w:val="00775195"/>
    <w:rsid w:val="00791B9D"/>
    <w:rsid w:val="007922C8"/>
    <w:rsid w:val="007A040A"/>
    <w:rsid w:val="007B4386"/>
    <w:rsid w:val="007B5817"/>
    <w:rsid w:val="007D4A49"/>
    <w:rsid w:val="007D7A4A"/>
    <w:rsid w:val="007E0369"/>
    <w:rsid w:val="007E6EE0"/>
    <w:rsid w:val="00804982"/>
    <w:rsid w:val="0086203B"/>
    <w:rsid w:val="0087679C"/>
    <w:rsid w:val="008803FE"/>
    <w:rsid w:val="00882505"/>
    <w:rsid w:val="008A14DB"/>
    <w:rsid w:val="008A2A42"/>
    <w:rsid w:val="008A60BB"/>
    <w:rsid w:val="008B58F3"/>
    <w:rsid w:val="008B63CD"/>
    <w:rsid w:val="008C6D08"/>
    <w:rsid w:val="008D1B9C"/>
    <w:rsid w:val="008D5A65"/>
    <w:rsid w:val="008F0447"/>
    <w:rsid w:val="008F3BA6"/>
    <w:rsid w:val="00912829"/>
    <w:rsid w:val="00914D64"/>
    <w:rsid w:val="00926A33"/>
    <w:rsid w:val="009507BF"/>
    <w:rsid w:val="009574C3"/>
    <w:rsid w:val="00965F4F"/>
    <w:rsid w:val="00987F87"/>
    <w:rsid w:val="0099182F"/>
    <w:rsid w:val="009B17AE"/>
    <w:rsid w:val="009B1DCD"/>
    <w:rsid w:val="00A0087B"/>
    <w:rsid w:val="00A0547F"/>
    <w:rsid w:val="00A111CB"/>
    <w:rsid w:val="00A51477"/>
    <w:rsid w:val="00A6587F"/>
    <w:rsid w:val="00A75D9C"/>
    <w:rsid w:val="00A83E1B"/>
    <w:rsid w:val="00AA09FD"/>
    <w:rsid w:val="00AB26EC"/>
    <w:rsid w:val="00AE18EF"/>
    <w:rsid w:val="00B02CDE"/>
    <w:rsid w:val="00B16384"/>
    <w:rsid w:val="00B32090"/>
    <w:rsid w:val="00B35C03"/>
    <w:rsid w:val="00B54A5D"/>
    <w:rsid w:val="00B60387"/>
    <w:rsid w:val="00B62A35"/>
    <w:rsid w:val="00B71283"/>
    <w:rsid w:val="00B8118B"/>
    <w:rsid w:val="00BB32E4"/>
    <w:rsid w:val="00BB5328"/>
    <w:rsid w:val="00BC25A8"/>
    <w:rsid w:val="00BC482D"/>
    <w:rsid w:val="00BD3956"/>
    <w:rsid w:val="00BF3E2E"/>
    <w:rsid w:val="00C05FD2"/>
    <w:rsid w:val="00C1216D"/>
    <w:rsid w:val="00C16BCC"/>
    <w:rsid w:val="00C24430"/>
    <w:rsid w:val="00C32353"/>
    <w:rsid w:val="00C324EE"/>
    <w:rsid w:val="00C42C1F"/>
    <w:rsid w:val="00C46EC8"/>
    <w:rsid w:val="00C547E8"/>
    <w:rsid w:val="00C555BA"/>
    <w:rsid w:val="00C80D39"/>
    <w:rsid w:val="00C822B5"/>
    <w:rsid w:val="00C84D92"/>
    <w:rsid w:val="00C961DC"/>
    <w:rsid w:val="00C97DB5"/>
    <w:rsid w:val="00CB5205"/>
    <w:rsid w:val="00CC09A9"/>
    <w:rsid w:val="00CD1351"/>
    <w:rsid w:val="00CF06D4"/>
    <w:rsid w:val="00D06F40"/>
    <w:rsid w:val="00D1533C"/>
    <w:rsid w:val="00D1724E"/>
    <w:rsid w:val="00D263AD"/>
    <w:rsid w:val="00D32AF5"/>
    <w:rsid w:val="00D43271"/>
    <w:rsid w:val="00D66752"/>
    <w:rsid w:val="00DB6E0A"/>
    <w:rsid w:val="00DC066B"/>
    <w:rsid w:val="00DC2B51"/>
    <w:rsid w:val="00DD2FFD"/>
    <w:rsid w:val="00DD6237"/>
    <w:rsid w:val="00DD6651"/>
    <w:rsid w:val="00E06CEA"/>
    <w:rsid w:val="00E16978"/>
    <w:rsid w:val="00E24714"/>
    <w:rsid w:val="00E247EF"/>
    <w:rsid w:val="00E42482"/>
    <w:rsid w:val="00E42FC7"/>
    <w:rsid w:val="00E504A7"/>
    <w:rsid w:val="00E66C96"/>
    <w:rsid w:val="00E90CF6"/>
    <w:rsid w:val="00E95E4C"/>
    <w:rsid w:val="00E962BF"/>
    <w:rsid w:val="00EB1647"/>
    <w:rsid w:val="00ED0313"/>
    <w:rsid w:val="00ED1E0D"/>
    <w:rsid w:val="00EF00AC"/>
    <w:rsid w:val="00EF0A3A"/>
    <w:rsid w:val="00F26566"/>
    <w:rsid w:val="00F26EB0"/>
    <w:rsid w:val="00F31989"/>
    <w:rsid w:val="00F3215C"/>
    <w:rsid w:val="00F32AF3"/>
    <w:rsid w:val="00F33AA2"/>
    <w:rsid w:val="00F372DE"/>
    <w:rsid w:val="00F43772"/>
    <w:rsid w:val="00F47160"/>
    <w:rsid w:val="00F471FF"/>
    <w:rsid w:val="00F71085"/>
    <w:rsid w:val="00F82CBC"/>
    <w:rsid w:val="00F846C0"/>
    <w:rsid w:val="00F87D66"/>
    <w:rsid w:val="00FA0F9B"/>
    <w:rsid w:val="00FA6BF0"/>
    <w:rsid w:val="00FB172E"/>
    <w:rsid w:val="00FB5612"/>
    <w:rsid w:val="00FC0622"/>
    <w:rsid w:val="00FC6DFC"/>
    <w:rsid w:val="00FD4CB7"/>
    <w:rsid w:val="1EFB577C"/>
    <w:rsid w:val="34787E99"/>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qFormat/>
    <w:uiPriority w:val="99"/>
    <w:rPr>
      <w:sz w:val="18"/>
      <w:szCs w:val="18"/>
    </w:rPr>
  </w:style>
  <w:style w:type="paragraph" w:styleId="3">
    <w:name w:val="footer"/>
    <w:basedOn w:val="1"/>
    <w:link w:val="12"/>
    <w:semiHidden/>
    <w:unhideWhenUsed/>
    <w:qFormat/>
    <w:uiPriority w:val="99"/>
    <w:pPr>
      <w:tabs>
        <w:tab w:val="center" w:pos="4153"/>
        <w:tab w:val="right" w:pos="8306"/>
      </w:tabs>
      <w:snapToGrid w:val="0"/>
      <w:jc w:val="left"/>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8">
    <w:name w:val="Strong"/>
    <w:basedOn w:val="7"/>
    <w:qFormat/>
    <w:uiPriority w:val="99"/>
    <w:rPr>
      <w:b/>
      <w:bCs/>
    </w:rPr>
  </w:style>
  <w:style w:type="paragraph" w:styleId="9">
    <w:name w:val="List Paragraph"/>
    <w:basedOn w:val="1"/>
    <w:qFormat/>
    <w:uiPriority w:val="99"/>
    <w:pPr>
      <w:ind w:firstLine="420" w:firstLineChars="200"/>
    </w:pPr>
  </w:style>
  <w:style w:type="character" w:customStyle="1" w:styleId="10">
    <w:name w:val="批注框文本 Char"/>
    <w:basedOn w:val="7"/>
    <w:link w:val="2"/>
    <w:semiHidden/>
    <w:qFormat/>
    <w:locked/>
    <w:uiPriority w:val="99"/>
    <w:rPr>
      <w:sz w:val="2"/>
      <w:szCs w:val="2"/>
    </w:rPr>
  </w:style>
  <w:style w:type="character" w:customStyle="1" w:styleId="11">
    <w:name w:val="页眉 Char"/>
    <w:basedOn w:val="7"/>
    <w:link w:val="4"/>
    <w:semiHidden/>
    <w:qFormat/>
    <w:uiPriority w:val="99"/>
    <w:rPr>
      <w:rFonts w:cs="Calibri"/>
      <w:sz w:val="18"/>
      <w:szCs w:val="18"/>
    </w:rPr>
  </w:style>
  <w:style w:type="character" w:customStyle="1" w:styleId="12">
    <w:name w:val="页脚 Char"/>
    <w:basedOn w:val="7"/>
    <w:link w:val="3"/>
    <w:semiHidden/>
    <w:qFormat/>
    <w:uiPriority w:val="99"/>
    <w:rPr>
      <w:rFonts w:cs="Calibr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877</Words>
  <Characters>5000</Characters>
  <Lines>41</Lines>
  <Paragraphs>11</Paragraphs>
  <TotalTime>307</TotalTime>
  <ScaleCrop>false</ScaleCrop>
  <LinksUpToDate>false</LinksUpToDate>
  <CharactersWithSpaces>5866</CharactersWithSpaces>
  <Application>WPS Office_11.1.0.9929_F1E327BC-269C-435d-A152-05C5408002CA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2017-11-03T04:07:00Z</dcterms:created>
  <dc:creator>6102</dc:creator>
  <cp:lastModifiedBy>penny</cp:lastModifiedBy>
  <cp:lastPrinted>2018-03-22T04:03:00Z</cp:lastPrinted>
  <dcterms:modified xsi:type="dcterms:W3CDTF">2021-04-07T02:31:42Z</dcterms:modified>
  <cp:revision>165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2052-11.1.0.9929</vt:lpwstr>
  </property>
</Properties>
</file>