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21年驻马店市委统战部部门预算说明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驻马店市委统战部概况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驻马店市委统战部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20年度部门预算情况说明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</w:t>
      </w:r>
      <w:r>
        <w:rPr>
          <w:rFonts w:hint="eastAsia" w:ascii="仿宋" w:hAnsi="仿宋" w:eastAsia="仿宋"/>
          <w:sz w:val="32"/>
          <w:szCs w:val="32"/>
          <w:lang w:eastAsia="zh-CN"/>
        </w:rPr>
        <w:t>预</w:t>
      </w:r>
      <w:r>
        <w:rPr>
          <w:rFonts w:hint="eastAsia" w:ascii="仿宋" w:hAnsi="仿宋" w:eastAsia="仿宋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附件：驻马店市委统战部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21年度部门预算表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六、支出经济分类汇总表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七、一般公共预算“三公”经费支出情况表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八、政府性基金预算支出情况表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九、重点项目预算的绩效目标表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驻马店市委统战部概况</w:t>
      </w:r>
    </w:p>
    <w:p>
      <w:pPr>
        <w:spacing w:line="600" w:lineRule="exact"/>
      </w:pPr>
      <w:r>
        <w:t> 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一、驻马店市委统战部主要职能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此项内容涉密，按规定不予公开。（中共驻马店市委办公室关于印发《中共驻马店市委统一战线工作部职能配置内设机构和人员编制规定》的通知（驻办文〔2019〕27号））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二、驻马店市委统战部机构设置及预算单位构成</w:t>
      </w:r>
    </w:p>
    <w:p>
      <w:pPr>
        <w:spacing w:line="550" w:lineRule="exact"/>
        <w:ind w:firstLine="640" w:firstLineChars="20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驻马店市委统战部内设10个职能科室，分别是</w:t>
      </w:r>
      <w:r>
        <w:rPr>
          <w:rFonts w:hint="eastAsia" w:ascii="仿宋" w:hAnsi="仿宋" w:eastAsia="仿宋"/>
          <w:sz w:val="32"/>
          <w:szCs w:val="32"/>
        </w:rPr>
        <w:t>办公室、</w:t>
      </w:r>
      <w:r>
        <w:rPr>
          <w:rFonts w:hint="eastAsia" w:ascii="仿宋" w:hAnsi="仿宋" w:eastAsia="仿宋" w:cs="仿宋_GB2312"/>
          <w:sz w:val="32"/>
          <w:szCs w:val="32"/>
        </w:rPr>
        <w:t>干部科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民主党派工作科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非公有制经济与港澳统战工作科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宣传调研科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民族宗教科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无党派人士与党外知识分子工作科</w:t>
      </w:r>
      <w:r>
        <w:rPr>
          <w:rFonts w:hint="eastAsia" w:ascii="仿宋" w:hAnsi="仿宋" w:eastAsia="仿宋"/>
          <w:sz w:val="32"/>
          <w:szCs w:val="32"/>
        </w:rPr>
        <w:t>、新的社会阶层人士工作科、</w:t>
      </w:r>
      <w:r>
        <w:rPr>
          <w:rFonts w:hint="eastAsia" w:ascii="仿宋" w:hAnsi="仿宋" w:eastAsia="仿宋" w:cs="仿宋_GB2312"/>
          <w:sz w:val="32"/>
          <w:szCs w:val="32"/>
        </w:rPr>
        <w:t>台湾工作科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侨务工作科（港澳事务科）。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驻马店市委统战部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部门预算包括机关本级预算和所属单位预算。</w:t>
      </w:r>
    </w:p>
    <w:p>
      <w:pPr>
        <w:numPr>
          <w:numId w:val="0"/>
        </w:numPr>
        <w:spacing w:line="360" w:lineRule="auto"/>
        <w:ind w:leftChars="200" w:firstLine="320" w:firstLineChars="1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市委统战部</w:t>
      </w:r>
      <w:r>
        <w:rPr>
          <w:rFonts w:hint="eastAsia" w:ascii="仿宋" w:hAnsi="仿宋" w:eastAsia="仿宋" w:cs="仿宋_GB2312"/>
          <w:sz w:val="32"/>
          <w:szCs w:val="32"/>
        </w:rPr>
        <w:t xml:space="preserve">机关本级； </w:t>
      </w:r>
    </w:p>
    <w:p>
      <w:pPr>
        <w:numPr>
          <w:numId w:val="0"/>
        </w:numPr>
        <w:spacing w:line="360" w:lineRule="auto"/>
        <w:ind w:leftChars="200" w:firstLine="320" w:firstLineChars="1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_GB2312"/>
          <w:sz w:val="32"/>
          <w:szCs w:val="32"/>
        </w:rPr>
        <w:t>市光彩事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业事务中心；</w:t>
      </w:r>
    </w:p>
    <w:p>
      <w:pPr>
        <w:numPr>
          <w:numId w:val="0"/>
        </w:numPr>
        <w:spacing w:line="360" w:lineRule="auto"/>
        <w:ind w:leftChars="200" w:firstLine="320" w:firstLineChars="1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_GB2312"/>
          <w:sz w:val="32"/>
          <w:szCs w:val="32"/>
        </w:rPr>
        <w:t>市党外知识分子联谊会秘书处；</w:t>
      </w:r>
    </w:p>
    <w:p>
      <w:pPr>
        <w:numPr>
          <w:numId w:val="0"/>
        </w:numPr>
        <w:spacing w:line="360" w:lineRule="auto"/>
        <w:ind w:leftChars="200" w:firstLine="320" w:firstLineChars="1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4.市台胞台属联谊会；</w:t>
      </w:r>
    </w:p>
    <w:p>
      <w:pPr>
        <w:numPr>
          <w:numId w:val="0"/>
        </w:numPr>
        <w:spacing w:line="360" w:lineRule="auto"/>
        <w:ind w:leftChars="200" w:firstLine="320" w:firstLineChars="1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5.中国民主促进会驻马店市委员会；</w:t>
      </w:r>
    </w:p>
    <w:p>
      <w:pPr>
        <w:numPr>
          <w:numId w:val="0"/>
        </w:numPr>
        <w:spacing w:line="360" w:lineRule="auto"/>
        <w:ind w:leftChars="200" w:firstLine="320" w:firstLineChars="1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6.中国民主同盟驻马店委员会。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color w:val="FF0000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</w:rPr>
        <w:t>驻马店</w:t>
      </w:r>
      <w:r>
        <w:rPr>
          <w:rFonts w:hint="eastAsia" w:ascii="黑体" w:hAnsi="黑体" w:eastAsia="黑体"/>
          <w:sz w:val="36"/>
          <w:szCs w:val="36"/>
        </w:rPr>
        <w:t>市委统战部</w:t>
      </w:r>
      <w:r>
        <w:rPr>
          <w:rFonts w:ascii="黑体" w:hAnsi="黑体" w:eastAsia="黑体" w:cs="黑体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kern w:val="0"/>
          <w:sz w:val="36"/>
          <w:szCs w:val="36"/>
        </w:rPr>
        <w:t>21年度部门预算情况说明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</w:rPr>
        <w:t>驻马店市委统战部</w:t>
      </w:r>
      <w:r>
        <w:rPr>
          <w:rFonts w:ascii="仿宋" w:hAnsi="仿宋" w:eastAsia="仿宋" w:cs="仿宋_GB2312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1年收入总计</w:t>
      </w:r>
      <w:r>
        <w:rPr>
          <w:rFonts w:ascii="仿宋" w:hAnsi="仿宋" w:eastAsia="仿宋" w:cs="仿宋_GB2312"/>
          <w:color w:val="000000"/>
          <w:sz w:val="32"/>
          <w:szCs w:val="32"/>
        </w:rPr>
        <w:t>884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.</w:t>
      </w:r>
      <w:r>
        <w:rPr>
          <w:rFonts w:ascii="仿宋" w:hAnsi="仿宋" w:eastAsia="仿宋" w:cs="仿宋_GB2312"/>
          <w:color w:val="000000"/>
          <w:sz w:val="32"/>
          <w:szCs w:val="32"/>
        </w:rPr>
        <w:t>4855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万元，支出总计</w:t>
      </w:r>
      <w:r>
        <w:rPr>
          <w:rFonts w:ascii="仿宋" w:hAnsi="仿宋" w:eastAsia="仿宋" w:cs="仿宋_GB2312"/>
          <w:color w:val="000000"/>
          <w:sz w:val="32"/>
          <w:szCs w:val="32"/>
        </w:rPr>
        <w:t>884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.</w:t>
      </w:r>
      <w:r>
        <w:rPr>
          <w:rFonts w:ascii="仿宋" w:hAnsi="仿宋" w:eastAsia="仿宋" w:cs="仿宋_GB2312"/>
          <w:color w:val="000000"/>
          <w:sz w:val="32"/>
          <w:szCs w:val="32"/>
        </w:rPr>
        <w:t>4855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万元，与</w:t>
      </w:r>
      <w:r>
        <w:rPr>
          <w:rFonts w:ascii="仿宋" w:hAnsi="仿宋" w:eastAsia="仿宋" w:cs="仿宋_GB2312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20年预算相比，收、支总计各增加30.9436万元，上升3.63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</w:t>
      </w:r>
      <w:r>
        <w:rPr>
          <w:rFonts w:hint="eastAsia" w:ascii="仿宋" w:hAnsi="仿宋" w:eastAsia="仿宋" w:cs="仿宋_GB2312"/>
          <w:bCs/>
          <w:color w:val="000000"/>
          <w:sz w:val="32"/>
          <w:szCs w:val="32"/>
        </w:rPr>
        <w:t>是</w:t>
      </w:r>
      <w:r>
        <w:rPr>
          <w:rFonts w:hint="eastAsia" w:ascii="仿宋_GB2312" w:hAnsi="宋体" w:eastAsia="仿宋_GB2312" w:cs="Courier New"/>
          <w:sz w:val="32"/>
          <w:szCs w:val="32"/>
        </w:rPr>
        <w:t>正常增人增资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</w:t>
      </w:r>
      <w:r>
        <w:rPr>
          <w:rFonts w:hint="eastAsia" w:ascii="仿宋" w:hAnsi="仿宋" w:eastAsia="仿宋" w:cs="仿宋_GB2312"/>
          <w:sz w:val="32"/>
          <w:szCs w:val="32"/>
        </w:rPr>
        <w:t>市委统战部</w:t>
      </w:r>
      <w:r>
        <w:rPr>
          <w:rFonts w:eastAsia="仿宋"/>
          <w:sz w:val="32"/>
          <w:szCs w:val="32"/>
        </w:rPr>
        <w:t>  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1年收入合</w:t>
      </w:r>
      <w:r>
        <w:rPr>
          <w:rFonts w:ascii="仿宋" w:hAnsi="仿宋" w:eastAsia="仿宋" w:cs="仿宋_GB2312"/>
          <w:color w:val="000000"/>
          <w:sz w:val="32"/>
          <w:szCs w:val="32"/>
        </w:rPr>
        <w:t>884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.</w:t>
      </w:r>
      <w:r>
        <w:rPr>
          <w:rFonts w:ascii="仿宋" w:hAnsi="仿宋" w:eastAsia="仿宋" w:cs="仿宋_GB2312"/>
          <w:color w:val="000000"/>
          <w:sz w:val="32"/>
          <w:szCs w:val="32"/>
        </w:rPr>
        <w:t>4855</w:t>
      </w:r>
      <w:r>
        <w:rPr>
          <w:rFonts w:hint="eastAsia" w:ascii="仿宋" w:hAnsi="仿宋" w:eastAsia="仿宋"/>
          <w:sz w:val="32"/>
          <w:szCs w:val="32"/>
        </w:rPr>
        <w:t>万元。其中：一般公共预算收入</w:t>
      </w:r>
      <w:r>
        <w:rPr>
          <w:rFonts w:ascii="仿宋" w:hAnsi="仿宋" w:eastAsia="仿宋" w:cs="仿宋_GB2312"/>
          <w:color w:val="000000"/>
          <w:sz w:val="32"/>
          <w:szCs w:val="32"/>
        </w:rPr>
        <w:t>884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.</w:t>
      </w:r>
      <w:r>
        <w:rPr>
          <w:rFonts w:ascii="仿宋" w:hAnsi="仿宋" w:eastAsia="仿宋" w:cs="仿宋_GB2312"/>
          <w:color w:val="000000"/>
          <w:sz w:val="32"/>
          <w:szCs w:val="32"/>
        </w:rPr>
        <w:t>4855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</w:t>
      </w:r>
      <w:r>
        <w:rPr>
          <w:rFonts w:hint="eastAsia" w:ascii="仿宋" w:hAnsi="仿宋" w:eastAsia="仿宋" w:cs="仿宋_GB2312"/>
          <w:sz w:val="32"/>
          <w:szCs w:val="32"/>
        </w:rPr>
        <w:t>市委统战部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1年支出合计</w:t>
      </w:r>
      <w:r>
        <w:rPr>
          <w:rFonts w:ascii="仿宋" w:hAnsi="仿宋" w:eastAsia="仿宋" w:cs="仿宋_GB2312"/>
          <w:color w:val="000000"/>
          <w:sz w:val="32"/>
          <w:szCs w:val="32"/>
        </w:rPr>
        <w:t>884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.</w:t>
      </w:r>
      <w:r>
        <w:rPr>
          <w:rFonts w:ascii="仿宋" w:hAnsi="仿宋" w:eastAsia="仿宋" w:cs="仿宋_GB2312"/>
          <w:color w:val="000000"/>
          <w:sz w:val="32"/>
          <w:szCs w:val="32"/>
        </w:rPr>
        <w:t>4855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ascii="仿宋" w:hAnsi="仿宋" w:eastAsia="仿宋"/>
          <w:sz w:val="32"/>
          <w:szCs w:val="32"/>
        </w:rPr>
        <w:t>674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6555</w:t>
      </w:r>
      <w:r>
        <w:rPr>
          <w:rFonts w:hint="eastAsia" w:ascii="仿宋" w:hAnsi="仿宋" w:eastAsia="仿宋"/>
          <w:sz w:val="32"/>
          <w:szCs w:val="32"/>
        </w:rPr>
        <w:t>万元，占76.28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；项目支出</w:t>
      </w:r>
      <w:r>
        <w:rPr>
          <w:rFonts w:ascii="仿宋" w:hAnsi="仿宋" w:eastAsia="仿宋"/>
          <w:sz w:val="32"/>
          <w:szCs w:val="32"/>
        </w:rPr>
        <w:t>209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8300</w:t>
      </w:r>
      <w:r>
        <w:rPr>
          <w:rFonts w:hint="eastAsia" w:ascii="仿宋" w:hAnsi="仿宋" w:eastAsia="仿宋"/>
          <w:sz w:val="32"/>
          <w:szCs w:val="32"/>
        </w:rPr>
        <w:t>万元，占23.72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驻马店市委统战部</w:t>
      </w:r>
      <w:r>
        <w:rPr>
          <w:rFonts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</w:t>
      </w:r>
      <w:r>
        <w:rPr>
          <w:rFonts w:ascii="仿宋" w:hAnsi="仿宋" w:eastAsia="仿宋" w:cs="仿宋_GB2312"/>
          <w:color w:val="000000"/>
          <w:sz w:val="32"/>
          <w:szCs w:val="32"/>
        </w:rPr>
        <w:t>884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.</w:t>
      </w:r>
      <w:r>
        <w:rPr>
          <w:rFonts w:ascii="仿宋" w:hAnsi="仿宋" w:eastAsia="仿宋" w:cs="仿宋_GB2312"/>
          <w:color w:val="000000"/>
          <w:sz w:val="32"/>
          <w:szCs w:val="32"/>
        </w:rPr>
        <w:t>4855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20年相比，一般公共预算收支预算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增加30.9436万元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上升3.63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</w:t>
      </w:r>
      <w:r>
        <w:rPr>
          <w:rFonts w:hint="eastAsia" w:ascii="仿宋" w:hAnsi="仿宋" w:eastAsia="仿宋" w:cs="仿宋_GB2312"/>
          <w:bCs/>
          <w:color w:val="000000"/>
          <w:sz w:val="32"/>
          <w:szCs w:val="32"/>
        </w:rPr>
        <w:t>是</w:t>
      </w:r>
      <w:r>
        <w:rPr>
          <w:rFonts w:hint="eastAsia" w:ascii="仿宋_GB2312" w:hAnsi="宋体" w:eastAsia="仿宋_GB2312" w:cs="Courier New"/>
          <w:sz w:val="32"/>
          <w:szCs w:val="32"/>
        </w:rPr>
        <w:t>正常增人增资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驻马店</w:t>
      </w:r>
      <w:r>
        <w:rPr>
          <w:rFonts w:hint="eastAsia" w:ascii="仿宋" w:hAnsi="仿宋" w:eastAsia="仿宋" w:cs="仿宋_GB2312"/>
          <w:sz w:val="32"/>
          <w:szCs w:val="32"/>
        </w:rPr>
        <w:t>市委统战部</w:t>
      </w:r>
      <w:r>
        <w:rPr>
          <w:rFonts w:ascii="仿宋" w:hAnsi="仿宋" w:eastAsia="仿宋" w:cs="仿宋_GB2312"/>
          <w:color w:val="333333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1年一般公共预算支出年初预算为</w:t>
      </w:r>
      <w:r>
        <w:rPr>
          <w:rFonts w:ascii="仿宋" w:hAnsi="仿宋" w:eastAsia="仿宋" w:cs="仿宋_GB2312"/>
          <w:color w:val="000000"/>
          <w:sz w:val="32"/>
          <w:szCs w:val="32"/>
        </w:rPr>
        <w:t>884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.</w:t>
      </w:r>
      <w:r>
        <w:rPr>
          <w:rFonts w:ascii="仿宋" w:hAnsi="仿宋" w:eastAsia="仿宋" w:cs="仿宋_GB2312"/>
          <w:color w:val="000000"/>
          <w:sz w:val="32"/>
          <w:szCs w:val="32"/>
        </w:rPr>
        <w:t>4855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万元。主要用于以下方面：一般公共服务（类）支出</w:t>
      </w:r>
      <w:r>
        <w:rPr>
          <w:rFonts w:ascii="仿宋" w:hAnsi="仿宋" w:eastAsia="仿宋" w:cs="仿宋_GB2312"/>
          <w:color w:val="000000"/>
          <w:sz w:val="32"/>
          <w:szCs w:val="32"/>
        </w:rPr>
        <w:t>738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.</w:t>
      </w:r>
      <w:r>
        <w:rPr>
          <w:rFonts w:ascii="仿宋" w:hAnsi="仿宋" w:eastAsia="仿宋" w:cs="仿宋_GB2312"/>
          <w:color w:val="000000"/>
          <w:sz w:val="32"/>
          <w:szCs w:val="32"/>
        </w:rPr>
        <w:t>2357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万元，占83.47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；社会保障和就业支出</w:t>
      </w:r>
      <w:r>
        <w:rPr>
          <w:rFonts w:ascii="仿宋" w:hAnsi="仿宋" w:eastAsia="仿宋" w:cs="仿宋_GB2312"/>
          <w:color w:val="000000"/>
          <w:sz w:val="32"/>
          <w:szCs w:val="32"/>
        </w:rPr>
        <w:t>81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.</w:t>
      </w:r>
      <w:r>
        <w:rPr>
          <w:rFonts w:ascii="仿宋" w:hAnsi="仿宋" w:eastAsia="仿宋" w:cs="仿宋_GB2312"/>
          <w:color w:val="000000"/>
          <w:sz w:val="32"/>
          <w:szCs w:val="32"/>
        </w:rPr>
        <w:t>9962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万元，占9.27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；卫生健康支出</w:t>
      </w:r>
      <w:r>
        <w:rPr>
          <w:rFonts w:ascii="仿宋" w:hAnsi="仿宋" w:eastAsia="仿宋" w:cs="仿宋_GB2312"/>
          <w:color w:val="000000"/>
          <w:sz w:val="32"/>
          <w:szCs w:val="32"/>
        </w:rPr>
        <w:t>33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.</w:t>
      </w:r>
      <w:r>
        <w:rPr>
          <w:rFonts w:ascii="仿宋" w:hAnsi="仿宋" w:eastAsia="仿宋" w:cs="仿宋_GB2312"/>
          <w:color w:val="000000"/>
          <w:sz w:val="32"/>
          <w:szCs w:val="32"/>
        </w:rPr>
        <w:t>1717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万元，占3.75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；住房保障支出</w:t>
      </w:r>
      <w:r>
        <w:rPr>
          <w:rFonts w:ascii="仿宋" w:hAnsi="仿宋" w:eastAsia="仿宋" w:cs="仿宋_GB2312"/>
          <w:color w:val="000000"/>
          <w:sz w:val="32"/>
          <w:szCs w:val="32"/>
        </w:rPr>
        <w:t>31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.</w:t>
      </w:r>
      <w:r>
        <w:rPr>
          <w:rFonts w:ascii="仿宋" w:hAnsi="仿宋" w:eastAsia="仿宋" w:cs="仿宋_GB2312"/>
          <w:color w:val="000000"/>
          <w:sz w:val="32"/>
          <w:szCs w:val="32"/>
        </w:rPr>
        <w:t>0819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万元，占3.51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2021年一般公共预算基本支出</w:t>
      </w:r>
      <w:r>
        <w:rPr>
          <w:rFonts w:ascii="仿宋" w:hAnsi="仿宋" w:eastAsia="仿宋"/>
          <w:sz w:val="32"/>
          <w:szCs w:val="32"/>
        </w:rPr>
        <w:t>674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6555</w:t>
      </w:r>
      <w:r>
        <w:rPr>
          <w:rFonts w:hint="eastAsia" w:ascii="仿宋" w:hAnsi="仿宋" w:eastAsia="仿宋"/>
          <w:sz w:val="32"/>
          <w:szCs w:val="32"/>
        </w:rPr>
        <w:t>万元，其中：人员经费602.6356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>
        <w:rPr>
          <w:rFonts w:ascii="仿宋" w:hAnsi="仿宋" w:eastAsia="仿宋"/>
          <w:sz w:val="32"/>
          <w:szCs w:val="32"/>
        </w:rPr>
        <w:t>72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0199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</w:t>
      </w:r>
      <w:r>
        <w:rPr>
          <w:rFonts w:hint="eastAsia" w:ascii="黑体" w:hAnsi="黑体" w:eastAsia="黑体"/>
          <w:sz w:val="32"/>
          <w:szCs w:val="32"/>
          <w:lang w:eastAsia="zh-CN"/>
        </w:rPr>
        <w:t>预</w:t>
      </w:r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1年无使用政府性基金预算拨款安排的支出。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1年“三公”经费预算为4.40万元。</w:t>
      </w:r>
      <w:r>
        <w:rPr>
          <w:rFonts w:hint="eastAsia" w:ascii="仿宋_GB2312" w:hAnsi="宋体" w:eastAsia="仿宋_GB2312" w:cs="Courier New"/>
          <w:sz w:val="32"/>
          <w:szCs w:val="32"/>
        </w:rPr>
        <w:t>2021年“三公”经费支出预算数比 2020年持平</w:t>
      </w:r>
      <w:r>
        <w:rPr>
          <w:rFonts w:hint="eastAsia" w:ascii="仿宋" w:hAnsi="仿宋" w:eastAsia="仿宋"/>
          <w:sz w:val="32"/>
          <w:szCs w:val="32"/>
        </w:rPr>
        <w:t xml:space="preserve">。主要原因是厉行节约，压缩三公经费支出。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具体支出情况如下：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（一）因公出国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境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费0万元，</w:t>
      </w:r>
      <w:r>
        <w:rPr>
          <w:rFonts w:hint="eastAsia" w:ascii="仿宋" w:hAnsi="仿宋" w:eastAsia="仿宋"/>
          <w:sz w:val="32"/>
          <w:szCs w:val="32"/>
        </w:rPr>
        <w:t>主要用于单位工作人员公务出国（境）的住宿费、旅费、伙食补助费、杂费、培训费等支出。我单位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1年没有安排因公出国（境）费用的收入和支出预算。预算数与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20年持平，主要原因是为压缩三公经费支出，我单位两年均未安排因公出国（境）费用的收入和支出预算。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（二）公务用车购置及运行费2.4万元</w:t>
      </w:r>
      <w:r>
        <w:rPr>
          <w:rFonts w:hint="eastAsia" w:ascii="仿宋" w:hAnsi="仿宋" w:eastAsia="仿宋"/>
          <w:sz w:val="32"/>
          <w:szCs w:val="32"/>
        </w:rPr>
        <w:t>，主要用于开展工作所需公务用车的燃料费、维修费、过路过桥费、保险费、安全奖励费用等支出。其中公务用车购置费预算0万元，</w:t>
      </w:r>
      <w:r>
        <w:rPr>
          <w:rFonts w:hint="eastAsia" w:ascii="仿宋_GB2312" w:hAnsi="宋体" w:eastAsia="仿宋_GB2312" w:cs="Courier New"/>
          <w:sz w:val="32"/>
          <w:szCs w:val="32"/>
        </w:rPr>
        <w:t>与 2020年相比没有变化</w:t>
      </w:r>
      <w:r>
        <w:rPr>
          <w:rFonts w:hint="eastAsia" w:ascii="仿宋" w:hAnsi="仿宋" w:eastAsia="仿宋"/>
          <w:sz w:val="32"/>
          <w:szCs w:val="32"/>
        </w:rPr>
        <w:t>，主要原因是两年均不需新购置公务用车。公务用车购置及运行费2.4万元，</w:t>
      </w:r>
      <w:r>
        <w:rPr>
          <w:rFonts w:hint="eastAsia" w:ascii="仿宋_GB2312" w:hAnsi="宋体" w:eastAsia="仿宋_GB2312" w:cs="Courier New"/>
          <w:sz w:val="32"/>
          <w:szCs w:val="32"/>
        </w:rPr>
        <w:t>预算数与 2020 年持平</w:t>
      </w:r>
      <w:r>
        <w:rPr>
          <w:rFonts w:hint="eastAsia" w:ascii="仿宋" w:hAnsi="仿宋" w:eastAsia="仿宋"/>
          <w:sz w:val="32"/>
          <w:szCs w:val="32"/>
        </w:rPr>
        <w:t>，主要原因是厉行节约，压缩三公经费支出。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（三）公务接待费2万元，</w:t>
      </w:r>
      <w:r>
        <w:rPr>
          <w:rFonts w:hint="eastAsia" w:ascii="仿宋" w:hAnsi="仿宋" w:eastAsia="仿宋"/>
          <w:sz w:val="32"/>
          <w:szCs w:val="32"/>
        </w:rPr>
        <w:t>主要用于按规定开支的各类公务接待支出。公务接待费2万元，</w:t>
      </w:r>
      <w:r>
        <w:rPr>
          <w:rFonts w:hint="eastAsia" w:ascii="仿宋_GB2312" w:hAnsi="宋体" w:eastAsia="仿宋_GB2312" w:cs="Courier New"/>
          <w:sz w:val="32"/>
          <w:szCs w:val="32"/>
        </w:rPr>
        <w:t>预算数与2020年持平。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</w:t>
      </w:r>
      <w:r>
        <w:rPr>
          <w:rFonts w:hint="eastAsia" w:ascii="仿宋" w:hAnsi="仿宋" w:eastAsia="仿宋" w:cs="仿宋_GB2312"/>
          <w:sz w:val="32"/>
          <w:szCs w:val="32"/>
        </w:rPr>
        <w:t>市委统战部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1年机关运行经费支出预算为277.4921万元，主要保障机构正常运转及政策履职需要。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1年政府采购预算安排206.50万元，其中：政府采购货物预算106.00万元，政府采购服务预算100.50万元。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2021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20年期末，我单位共有车辆3辆，其中：一般公务用车2辆、一般执法执勤用车0辆、其他用车1辆，其他用车主要是机要通信用车0辆、应急车辆0辆、老干部用车0辆；单价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万元以上通用设备0套，单位价值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万元以上专用设备0套。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我单位无负责参与管理的专项转移支付项目。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驻马店市委统战部</w:t>
      </w:r>
      <w:r>
        <w:rPr>
          <w:rFonts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21年度部门预算表</w:t>
      </w:r>
    </w:p>
    <w:p>
      <w:pPr>
        <w:spacing w:line="600" w:lineRule="exact"/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DB6E0A"/>
    <w:rsid w:val="00024F6B"/>
    <w:rsid w:val="00031E78"/>
    <w:rsid w:val="00046304"/>
    <w:rsid w:val="00081A39"/>
    <w:rsid w:val="00081D98"/>
    <w:rsid w:val="00082E97"/>
    <w:rsid w:val="000845E3"/>
    <w:rsid w:val="00092293"/>
    <w:rsid w:val="000A57D3"/>
    <w:rsid w:val="000A793C"/>
    <w:rsid w:val="000B2C71"/>
    <w:rsid w:val="000D2EF0"/>
    <w:rsid w:val="000D639D"/>
    <w:rsid w:val="000E1E98"/>
    <w:rsid w:val="000F00F0"/>
    <w:rsid w:val="000F07CF"/>
    <w:rsid w:val="00103B01"/>
    <w:rsid w:val="00130D39"/>
    <w:rsid w:val="00132510"/>
    <w:rsid w:val="00135319"/>
    <w:rsid w:val="00136DD4"/>
    <w:rsid w:val="001433A2"/>
    <w:rsid w:val="0015431D"/>
    <w:rsid w:val="00157DC9"/>
    <w:rsid w:val="00164490"/>
    <w:rsid w:val="0016485B"/>
    <w:rsid w:val="00174997"/>
    <w:rsid w:val="00174BB7"/>
    <w:rsid w:val="00196EFD"/>
    <w:rsid w:val="00197F39"/>
    <w:rsid w:val="001A2E4D"/>
    <w:rsid w:val="001D3474"/>
    <w:rsid w:val="001F0097"/>
    <w:rsid w:val="001F0DC7"/>
    <w:rsid w:val="001F3EA8"/>
    <w:rsid w:val="00247B5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B43A0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96AC9"/>
    <w:rsid w:val="004B1C7F"/>
    <w:rsid w:val="004B2AB1"/>
    <w:rsid w:val="004B5AC1"/>
    <w:rsid w:val="004D3E72"/>
    <w:rsid w:val="004E5EE2"/>
    <w:rsid w:val="004F11FB"/>
    <w:rsid w:val="004F4F26"/>
    <w:rsid w:val="005166CB"/>
    <w:rsid w:val="00517F70"/>
    <w:rsid w:val="00520079"/>
    <w:rsid w:val="00520C68"/>
    <w:rsid w:val="005458CE"/>
    <w:rsid w:val="00547FA8"/>
    <w:rsid w:val="00553B3D"/>
    <w:rsid w:val="00563F27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9E9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72C54"/>
    <w:rsid w:val="00987F87"/>
    <w:rsid w:val="0099182F"/>
    <w:rsid w:val="00995516"/>
    <w:rsid w:val="009B17AE"/>
    <w:rsid w:val="009B1DCD"/>
    <w:rsid w:val="009B5BC4"/>
    <w:rsid w:val="009E3F59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55230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DEB"/>
    <w:rsid w:val="00D06F40"/>
    <w:rsid w:val="00D1533C"/>
    <w:rsid w:val="00D1724E"/>
    <w:rsid w:val="00D263AD"/>
    <w:rsid w:val="00D32AF5"/>
    <w:rsid w:val="00D40628"/>
    <w:rsid w:val="00D43271"/>
    <w:rsid w:val="00D66752"/>
    <w:rsid w:val="00D8763C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445C9"/>
    <w:rsid w:val="00E504A7"/>
    <w:rsid w:val="00E66C96"/>
    <w:rsid w:val="00E90CF6"/>
    <w:rsid w:val="00E95E4C"/>
    <w:rsid w:val="00E962BF"/>
    <w:rsid w:val="00EB1647"/>
    <w:rsid w:val="00ED0313"/>
    <w:rsid w:val="00EE2C68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8C373FF"/>
    <w:rsid w:val="0A240D64"/>
    <w:rsid w:val="1EFB577C"/>
    <w:rsid w:val="3478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Cs w:val="24"/>
    </w:rPr>
  </w:style>
  <w:style w:type="paragraph" w:styleId="3">
    <w:name w:val="Body Text 2"/>
    <w:basedOn w:val="1"/>
    <w:qFormat/>
    <w:uiPriority w:val="0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  <w:szCs w:val="20"/>
    </w:r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9"/>
    <w:link w:val="4"/>
    <w:semiHidden/>
    <w:qFormat/>
    <w:locked/>
    <w:uiPriority w:val="99"/>
    <w:rPr>
      <w:sz w:val="2"/>
      <w:szCs w:val="2"/>
    </w:rPr>
  </w:style>
  <w:style w:type="character" w:customStyle="1" w:styleId="13">
    <w:name w:val="页眉 Char"/>
    <w:basedOn w:val="9"/>
    <w:link w:val="6"/>
    <w:semiHidden/>
    <w:qFormat/>
    <w:uiPriority w:val="99"/>
    <w:rPr>
      <w:rFonts w:cs="Calibri"/>
      <w:sz w:val="18"/>
      <w:szCs w:val="18"/>
    </w:rPr>
  </w:style>
  <w:style w:type="character" w:customStyle="1" w:styleId="14">
    <w:name w:val="页脚 Char"/>
    <w:basedOn w:val="9"/>
    <w:link w:val="5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4901</Words>
  <Characters>5182</Characters>
  <Lines>37</Lines>
  <Paragraphs>10</Paragraphs>
  <TotalTime>1</TotalTime>
  <ScaleCrop>false</ScaleCrop>
  <LinksUpToDate>false</LinksUpToDate>
  <CharactersWithSpaces>5206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hl</cp:lastModifiedBy>
  <cp:lastPrinted>2021-03-29T09:12:00Z</cp:lastPrinted>
  <dcterms:modified xsi:type="dcterms:W3CDTF">2022-04-19T09:00:31Z</dcterms:modified>
  <cp:revision>169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4111C0C6B2F74AFAA56F64927877D91D</vt:lpwstr>
  </property>
</Properties>
</file>