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 xml:space="preserve">人力资源和社会保障局    </w:t>
      </w:r>
      <w:r>
        <w:rPr>
          <w:rFonts w:hint="eastAsia" w:asciiTheme="majorEastAsia" w:hAnsiTheme="majorEastAsia" w:eastAsiaTheme="majorEastAsia"/>
          <w:b/>
          <w:sz w:val="44"/>
          <w:szCs w:val="44"/>
        </w:rPr>
        <w:t>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人力资源和社会保障局</w:t>
      </w:r>
      <w:r>
        <w:rPr>
          <w:rFonts w:hint="eastAsia" w:ascii="黑体" w:hAnsi="黑体" w:eastAsia="黑体" w:cs="黑体"/>
          <w:kern w:val="0"/>
          <w:sz w:val="32"/>
          <w:szCs w:val="32"/>
        </w:rPr>
        <w:t>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人力资源和社会保障局</w:t>
      </w:r>
      <w:r>
        <w:rPr>
          <w:rFonts w:ascii="黑体" w:hAnsi="黑体" w:eastAsia="黑体" w:cs="黑体"/>
          <w:kern w:val="0"/>
          <w:sz w:val="32"/>
          <w:szCs w:val="32"/>
        </w:rPr>
        <w:t>20</w:t>
      </w:r>
      <w:r>
        <w:rPr>
          <w:rFonts w:hint="eastAsia" w:ascii="黑体" w:hAnsi="黑体" w:eastAsia="黑体" w:cs="黑体"/>
          <w:kern w:val="0"/>
          <w:sz w:val="32"/>
          <w:szCs w:val="32"/>
          <w:lang w:val="en-US" w:eastAsia="zh-CN"/>
        </w:rPr>
        <w:t>21</w:t>
      </w:r>
      <w:r>
        <w:rPr>
          <w:rFonts w:hint="eastAsia" w:ascii="黑体" w:hAnsi="黑体" w:eastAsia="黑体" w:cs="黑体"/>
          <w:kern w:val="0"/>
          <w:sz w:val="32"/>
          <w:szCs w:val="32"/>
        </w:rPr>
        <w:t>年度部门预算情况说明</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人力资源和社会保障局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人力资源和社会保障局</w:t>
      </w:r>
      <w:r>
        <w:rPr>
          <w:rFonts w:hint="eastAsia" w:ascii="黑体" w:hAnsi="黑体" w:eastAsia="黑体"/>
          <w:sz w:val="36"/>
          <w:szCs w:val="36"/>
        </w:rPr>
        <w:t>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人力资源和社会保障局</w:t>
      </w:r>
      <w:r>
        <w:rPr>
          <w:rFonts w:hint="eastAsia" w:ascii="黑体" w:hAnsi="黑体" w:eastAsia="黑体"/>
          <w:sz w:val="32"/>
          <w:szCs w:val="32"/>
        </w:rPr>
        <w:t>主要职能</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一</w:t>
      </w:r>
      <w:r>
        <w:rPr>
          <w:rFonts w:hint="eastAsia" w:ascii="仿宋" w:hAnsi="仿宋" w:eastAsia="仿宋" w:cs="仿宋_GB2312"/>
          <w:sz w:val="32"/>
          <w:szCs w:val="32"/>
          <w:lang w:eastAsia="zh-CN"/>
        </w:rPr>
        <w:t>）</w:t>
      </w:r>
      <w:r>
        <w:rPr>
          <w:rFonts w:hint="eastAsia" w:ascii="仿宋" w:hAnsi="仿宋" w:eastAsia="仿宋" w:cs="仿宋_GB2312"/>
          <w:sz w:val="32"/>
          <w:szCs w:val="32"/>
        </w:rPr>
        <w:t>贯彻执行人力资源和社会保障法律、法规、政策；制定全市人力资源和社会保障事业发展规则，组织实施全市人力资源和社会保障各项政策并监督检查;</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eastAsia="zh-CN"/>
        </w:rPr>
        <w:t>）</w:t>
      </w:r>
      <w:r>
        <w:rPr>
          <w:rFonts w:hint="eastAsia" w:ascii="仿宋" w:hAnsi="仿宋" w:eastAsia="仿宋" w:cs="仿宋_GB2312"/>
          <w:sz w:val="32"/>
          <w:szCs w:val="32"/>
        </w:rPr>
        <w:t>制定全市人力资源市场发展规划和人力资源服务业发展、人力资源流动的相关规定，建立统一规范的人力资源市场，促进人力资源合理流动和优化配置;</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三</w:t>
      </w:r>
      <w:r>
        <w:rPr>
          <w:rFonts w:hint="eastAsia" w:ascii="仿宋" w:hAnsi="仿宋" w:eastAsia="仿宋" w:cs="仿宋_GB2312"/>
          <w:sz w:val="32"/>
          <w:szCs w:val="32"/>
          <w:lang w:eastAsia="zh-CN"/>
        </w:rPr>
        <w:t>）</w:t>
      </w:r>
      <w:r>
        <w:rPr>
          <w:rFonts w:hint="eastAsia" w:ascii="仿宋" w:hAnsi="仿宋" w:eastAsia="仿宋" w:cs="仿宋_GB2312"/>
          <w:sz w:val="32"/>
          <w:szCs w:val="32"/>
        </w:rPr>
        <w:t>负责全市促进就业工作，贯彻落实全省统筹城乡的就业发展规划和政策，完善公共就业创业服务体系，统筹实施全市面向城乡劳动者的职业技能培训，落实省、市就业援助制度和省、市高校毕业生就业政策，会同有关部门制定高技能人才、农村实用人才的培养和激励措施;</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四</w:t>
      </w:r>
      <w:r>
        <w:rPr>
          <w:rFonts w:hint="eastAsia" w:ascii="仿宋" w:hAnsi="仿宋" w:eastAsia="仿宋" w:cs="仿宋_GB2312"/>
          <w:sz w:val="32"/>
          <w:szCs w:val="32"/>
          <w:lang w:eastAsia="zh-CN"/>
        </w:rPr>
        <w:t>）</w:t>
      </w:r>
      <w:r>
        <w:rPr>
          <w:rFonts w:hint="eastAsia" w:ascii="仿宋" w:hAnsi="仿宋" w:eastAsia="仿宋" w:cs="仿宋_GB2312"/>
          <w:sz w:val="32"/>
          <w:szCs w:val="32"/>
        </w:rPr>
        <w:t>统筹推进建立覆盖全市城乡的多层次社会保障体系。贯彻落实养老、失业、工伤等社会保险及其补充保险政策和标准。贯彻落实全省统一的社会保险关系转续办法。落实社会保险及其补充保险基金管理和监督制度，编制全市社会保险基金预决算草案。会同有关部门实施全民参保计划并建立统一的社会保险公共服务平台;</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五</w:t>
      </w:r>
      <w:r>
        <w:rPr>
          <w:rFonts w:hint="eastAsia" w:ascii="仿宋" w:hAnsi="仿宋" w:eastAsia="仿宋" w:cs="仿宋_GB2312"/>
          <w:sz w:val="32"/>
          <w:szCs w:val="32"/>
          <w:lang w:eastAsia="zh-CN"/>
        </w:rPr>
        <w:t>）</w:t>
      </w:r>
      <w:r>
        <w:rPr>
          <w:rFonts w:hint="eastAsia" w:ascii="仿宋" w:hAnsi="仿宋" w:eastAsia="仿宋" w:cs="仿宋_GB2312"/>
          <w:sz w:val="32"/>
          <w:szCs w:val="32"/>
        </w:rPr>
        <w:t>负责全市就业、失业和相关社会保险基金预测预警和信息引导，拟订应对预案，实施预防、调节和控制，保持就业形势稳定和社会保险基金总体收支平衡;</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六</w:t>
      </w:r>
      <w:r>
        <w:rPr>
          <w:rFonts w:hint="eastAsia" w:ascii="仿宋" w:hAnsi="仿宋" w:eastAsia="仿宋" w:cs="仿宋_GB2312"/>
          <w:sz w:val="32"/>
          <w:szCs w:val="32"/>
          <w:lang w:eastAsia="zh-CN"/>
        </w:rPr>
        <w:t>）</w:t>
      </w:r>
      <w:r>
        <w:rPr>
          <w:rFonts w:hint="eastAsia" w:ascii="仿宋" w:hAnsi="仿宋" w:eastAsia="仿宋" w:cs="仿宋_GB2312"/>
          <w:sz w:val="32"/>
          <w:szCs w:val="32"/>
        </w:rPr>
        <w:t>贯彻落实劳动人事争议调解仲裁制度和劳动关系政策，完善劳动关系协商协调机制，监督执行国家工作时间、休息休假和假期相关规定以及国家、省特殊劳动保护政策。组织实施劳动保障监察，协调劳动者维权工作，依法查处重大案件;</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七</w:t>
      </w:r>
      <w:r>
        <w:rPr>
          <w:rFonts w:hint="eastAsia" w:ascii="仿宋" w:hAnsi="仿宋" w:eastAsia="仿宋" w:cs="仿宋_GB2312"/>
          <w:sz w:val="32"/>
          <w:szCs w:val="32"/>
          <w:lang w:eastAsia="zh-CN"/>
        </w:rPr>
        <w:t>）</w:t>
      </w:r>
      <w:r>
        <w:rPr>
          <w:rFonts w:hint="eastAsia" w:ascii="仿宋" w:hAnsi="仿宋" w:eastAsia="仿宋" w:cs="仿宋_GB2312"/>
          <w:sz w:val="32"/>
          <w:szCs w:val="32"/>
        </w:rPr>
        <w:t>推进深化职称制度改革，贯彻落实专业技术人员管理、继续教育和博士后管理等政策，负责高层次专业技术人才选拔和培养工作，拟定吸引留学人员来驻工作或定居政策。组织制定全市技能人才培养、评价、使用和激励制度。健全职业技能多元化评价制度;</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八</w:t>
      </w:r>
      <w:r>
        <w:rPr>
          <w:rFonts w:hint="eastAsia" w:ascii="仿宋" w:hAnsi="仿宋" w:eastAsia="仿宋" w:cs="仿宋_GB2312"/>
          <w:sz w:val="32"/>
          <w:szCs w:val="32"/>
          <w:lang w:eastAsia="zh-CN"/>
        </w:rPr>
        <w:t>）</w:t>
      </w:r>
      <w:r>
        <w:rPr>
          <w:rFonts w:hint="eastAsia" w:ascii="仿宋" w:hAnsi="仿宋" w:eastAsia="仿宋" w:cs="仿宋_GB2312"/>
          <w:sz w:val="32"/>
          <w:szCs w:val="32"/>
        </w:rPr>
        <w:t>会同有关部门指导全市事业单位人事制度改革，按照管理权限负责规范事业单位岗位设置、公开招聘、聘用管理、考核奖惩等人事综合管理工作，拟定事业单位工作人员和机关工勤人员管理规定;</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九</w:t>
      </w:r>
      <w:r>
        <w:rPr>
          <w:rFonts w:hint="eastAsia" w:ascii="仿宋" w:hAnsi="仿宋" w:eastAsia="仿宋" w:cs="仿宋_GB2312"/>
          <w:sz w:val="32"/>
          <w:szCs w:val="32"/>
          <w:lang w:eastAsia="zh-CN"/>
        </w:rPr>
        <w:t>）</w:t>
      </w:r>
      <w:r>
        <w:rPr>
          <w:rFonts w:hint="eastAsia" w:ascii="仿宋" w:hAnsi="仿宋" w:eastAsia="仿宋" w:cs="仿宋_GB2312"/>
          <w:sz w:val="32"/>
          <w:szCs w:val="32"/>
        </w:rPr>
        <w:t>协助有关部门做好机关公务员录用、公开遴选、公开选调等考试的考务组织工作；会同有关部门组织落实国家表彰奖励制度，综合管理市委、市政府表彰奖励工作，承担全市评比达标表彰和县处级表彰等工作，根据授权承办以市委、市政府名义开展的表彰奖励活动，承办部分市管领导干部的行政任免手续;</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十</w:t>
      </w:r>
      <w:r>
        <w:rPr>
          <w:rFonts w:hint="eastAsia" w:ascii="仿宋" w:hAnsi="仿宋" w:eastAsia="仿宋" w:cs="仿宋_GB2312"/>
          <w:sz w:val="32"/>
          <w:szCs w:val="32"/>
          <w:lang w:eastAsia="zh-CN"/>
        </w:rPr>
        <w:t>）</w:t>
      </w:r>
      <w:r>
        <w:rPr>
          <w:rFonts w:hint="eastAsia" w:ascii="仿宋" w:hAnsi="仿宋" w:eastAsia="仿宋" w:cs="仿宋_GB2312"/>
          <w:sz w:val="32"/>
          <w:szCs w:val="32"/>
        </w:rPr>
        <w:t>贯彻落实事业单位人员和机关工勤人员工资收入分配政策，落实全市事业单位人员工资正常增长和支付保障机制。落实事业单位人员、机关工勤人员福利和退休政策，落实机关、事业单位工勤人员技术等级考核政策;</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十一</w:t>
      </w:r>
      <w:r>
        <w:rPr>
          <w:rFonts w:hint="eastAsia" w:ascii="仿宋" w:hAnsi="仿宋" w:eastAsia="仿宋" w:cs="仿宋_GB2312"/>
          <w:sz w:val="32"/>
          <w:szCs w:val="32"/>
          <w:lang w:eastAsia="zh-CN"/>
        </w:rPr>
        <w:t>）</w:t>
      </w:r>
      <w:r>
        <w:rPr>
          <w:rFonts w:hint="eastAsia" w:ascii="仿宋" w:hAnsi="仿宋" w:eastAsia="仿宋" w:cs="仿宋_GB2312"/>
          <w:sz w:val="32"/>
          <w:szCs w:val="32"/>
        </w:rPr>
        <w:t>贯彻落实农民工工作政策，制定全市农民工工作规划，推动相关政策落实，协调解决重点难点问题，维护农民工合法权益，统筹指导全市农民工就业创业和发展家庭服务业促进就业工作;</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十二</w:t>
      </w:r>
      <w:r>
        <w:rPr>
          <w:rFonts w:hint="eastAsia" w:ascii="仿宋" w:hAnsi="仿宋" w:eastAsia="仿宋" w:cs="仿宋_GB2312"/>
          <w:sz w:val="32"/>
          <w:szCs w:val="32"/>
          <w:lang w:eastAsia="zh-CN"/>
        </w:rPr>
        <w:t>）</w:t>
      </w:r>
      <w:r>
        <w:rPr>
          <w:rFonts w:hint="eastAsia" w:ascii="仿宋" w:hAnsi="仿宋" w:eastAsia="仿宋" w:cs="仿宋_GB2312"/>
          <w:sz w:val="32"/>
          <w:szCs w:val="32"/>
        </w:rPr>
        <w:t>完成市委、市政府交办的其他任务;</w:t>
      </w:r>
    </w:p>
    <w:p>
      <w:pPr>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十三</w:t>
      </w:r>
      <w:r>
        <w:rPr>
          <w:rFonts w:hint="eastAsia" w:ascii="仿宋" w:hAnsi="仿宋" w:eastAsia="仿宋" w:cs="仿宋_GB2312"/>
          <w:sz w:val="32"/>
          <w:szCs w:val="32"/>
          <w:lang w:eastAsia="zh-CN"/>
        </w:rPr>
        <w:t>）</w:t>
      </w:r>
      <w:r>
        <w:rPr>
          <w:rFonts w:hint="eastAsia" w:ascii="仿宋" w:hAnsi="仿宋" w:eastAsia="仿宋" w:cs="仿宋_GB2312"/>
          <w:sz w:val="32"/>
          <w:szCs w:val="32"/>
        </w:rPr>
        <w:t>有关职责分工。机关事业单位进人问题职责分工。市委机构编制委员会办公室根据用人单位编制余缺和编制结构情况进行编制审核，同意后核发机构编制审核通知单（或进人通知单）并在用人单位办理入减编手续后出具入减编通知单。市人力资源和社会保障局凭机构编制审核通知单（或进人通知单）办理人员录用、聘用（任）、调配（任）、政策性安置、工资核定、社会保障手续。市财政局凭进人通知单或入减编通知单以及市人力资源和社会保障局的录用、聘用（任）、调配（任）手续办理经费核拨和工资统发。各相关部门要密切配合，各负其责，形成合力，简化办事程序。实行一站式办公和限时办结制，不得自行设置其他前置审批程序。</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人力资源和社会保障局</w:t>
      </w:r>
      <w:r>
        <w:rPr>
          <w:rFonts w:hint="eastAsia" w:ascii="黑体" w:hAnsi="黑体" w:eastAsia="黑体"/>
          <w:sz w:val="32"/>
          <w:szCs w:val="32"/>
        </w:rPr>
        <w:t>机构设置及预算单位构成</w:t>
      </w:r>
    </w:p>
    <w:p>
      <w:pPr>
        <w:widowControl/>
        <w:spacing w:line="600" w:lineRule="exact"/>
        <w:ind w:firstLine="640" w:firstLineChars="200"/>
        <w:jc w:val="left"/>
        <w:rPr>
          <w:rFonts w:hint="eastAsia" w:ascii="仿宋" w:hAnsi="仿宋" w:eastAsia="仿宋" w:cs="仿宋_GB2312"/>
          <w:sz w:val="32"/>
          <w:szCs w:val="32"/>
        </w:rPr>
      </w:pPr>
      <w:r>
        <w:rPr>
          <w:rFonts w:hint="eastAsia" w:ascii="仿宋" w:hAnsi="仿宋" w:eastAsia="仿宋" w:cs="仿宋_GB2312"/>
          <w:sz w:val="32"/>
          <w:szCs w:val="32"/>
        </w:rPr>
        <w:t>驻马店市人力资源和社会保障局内设机构20个，包括：办公室（信访工作科）、政策法规调研科、就业促进工作办公室、人力资源流动管理科、职业能力建设科、人才评价开发科（职称改革办公室）、专业技术人员管理科（博士后与留学人员管理科）、事业单位人事管理科、农民工工作科、劳动关系科、工资福利科、养老保险科、失业保险科、工伤保险科（驻马店市劳动能力鉴定委员会办公室）、规划与基金监督科、调解仲裁科、劳动保障监察科、机关事业单位工勤岗位考核科（驻马店市机关事业单位工人技术等级考核委员会办公室）、行政审批服务科、人事科（离退休干部工作科）。另设有机关党委。</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hint="eastAsia" w:ascii="仿宋" w:hAnsi="仿宋" w:eastAsia="仿宋" w:cs="仿宋_GB2312"/>
          <w:kern w:val="0"/>
          <w:sz w:val="32"/>
          <w:szCs w:val="32"/>
        </w:rPr>
        <w:t>部门预算包括局机关本级预算和局属单位预算。</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36" w:firstLineChars="200"/>
        <w:jc w:val="left"/>
        <w:textAlignment w:val="auto"/>
        <w:rPr>
          <w:rFonts w:hint="default" w:ascii="Calibri" w:hAnsi="Calibri" w:cs="Calibri"/>
          <w:sz w:val="21"/>
          <w:szCs w:val="21"/>
        </w:rPr>
      </w:pPr>
      <w:r>
        <w:rPr>
          <w:rFonts w:hint="eastAsia" w:ascii="仿宋_GB2312" w:hAnsi="Calibri" w:eastAsia="仿宋_GB2312" w:cs="仿宋_GB2312"/>
          <w:spacing w:val="-1"/>
          <w:sz w:val="32"/>
          <w:szCs w:val="32"/>
        </w:rPr>
        <w:t>1.</w:t>
      </w:r>
      <w:r>
        <w:rPr>
          <w:rFonts w:hint="eastAsia" w:ascii="仿宋_GB2312" w:eastAsia="仿宋_GB2312" w:cs="仿宋_GB2312"/>
          <w:spacing w:val="-1"/>
          <w:sz w:val="32"/>
          <w:szCs w:val="32"/>
          <w:lang w:eastAsia="zh-CN"/>
        </w:rPr>
        <w:t>驻马店市</w:t>
      </w:r>
      <w:r>
        <w:rPr>
          <w:rFonts w:hint="eastAsia" w:ascii="仿宋_GB2312" w:hAnsi="Calibri" w:eastAsia="仿宋_GB2312" w:cs="仿宋_GB2312"/>
          <w:spacing w:val="-1"/>
          <w:sz w:val="32"/>
          <w:szCs w:val="32"/>
        </w:rPr>
        <w:t>人力资源和社会保障</w:t>
      </w:r>
      <w:r>
        <w:rPr>
          <w:rFonts w:hint="eastAsia" w:ascii="仿宋_GB2312" w:eastAsia="仿宋_GB2312" w:cs="仿宋_GB2312"/>
          <w:sz w:val="32"/>
          <w:szCs w:val="32"/>
          <w:lang w:eastAsia="zh-CN"/>
        </w:rPr>
        <w:t>局</w:t>
      </w:r>
      <w:r>
        <w:rPr>
          <w:rFonts w:hint="eastAsia" w:ascii="仿宋_GB2312" w:hAnsi="Calibri" w:eastAsia="仿宋_GB2312" w:cs="仿宋_GB2312"/>
          <w:spacing w:val="-1"/>
          <w:sz w:val="32"/>
          <w:szCs w:val="32"/>
        </w:rPr>
        <w:t>机关本级</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36" w:firstLineChars="200"/>
        <w:jc w:val="left"/>
        <w:textAlignment w:val="auto"/>
        <w:rPr>
          <w:rFonts w:hint="default" w:ascii="Calibri" w:hAnsi="Calibri" w:cs="Calibri"/>
          <w:sz w:val="21"/>
          <w:szCs w:val="21"/>
        </w:rPr>
      </w:pPr>
      <w:r>
        <w:rPr>
          <w:rFonts w:hint="eastAsia" w:ascii="仿宋_GB2312" w:hAnsi="Calibri" w:eastAsia="仿宋_GB2312" w:cs="仿宋_GB2312"/>
          <w:spacing w:val="-1"/>
          <w:sz w:val="32"/>
          <w:szCs w:val="32"/>
        </w:rPr>
        <w:t>2.</w:t>
      </w:r>
      <w:r>
        <w:rPr>
          <w:rFonts w:hint="eastAsia" w:ascii="仿宋_GB2312" w:eastAsia="仿宋_GB2312" w:cs="仿宋_GB2312"/>
          <w:spacing w:val="-1"/>
          <w:sz w:val="32"/>
          <w:szCs w:val="32"/>
          <w:lang w:eastAsia="zh-CN"/>
        </w:rPr>
        <w:t>驻马店市劳动就业处</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36" w:firstLineChars="200"/>
        <w:jc w:val="left"/>
        <w:textAlignment w:val="auto"/>
        <w:rPr>
          <w:rFonts w:hint="default" w:ascii="Calibri" w:hAnsi="Calibri" w:cs="Calibri"/>
          <w:sz w:val="21"/>
          <w:szCs w:val="21"/>
        </w:rPr>
      </w:pPr>
      <w:r>
        <w:rPr>
          <w:rFonts w:hint="eastAsia" w:ascii="仿宋_GB2312" w:hAnsi="Calibri" w:eastAsia="仿宋_GB2312" w:cs="仿宋_GB2312"/>
          <w:spacing w:val="-1"/>
          <w:sz w:val="32"/>
          <w:szCs w:val="32"/>
        </w:rPr>
        <w:t>3.</w:t>
      </w:r>
      <w:r>
        <w:rPr>
          <w:rFonts w:hint="eastAsia" w:ascii="仿宋_GB2312" w:eastAsia="仿宋_GB2312" w:cs="仿宋_GB2312"/>
          <w:color w:val="000000"/>
          <w:sz w:val="32"/>
          <w:szCs w:val="32"/>
          <w:lang w:eastAsia="zh-CN"/>
        </w:rPr>
        <w:t>驻马店市企业养老保险中心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4.</w:t>
      </w:r>
      <w:r>
        <w:rPr>
          <w:rFonts w:hint="eastAsia" w:ascii="仿宋_GB2312" w:eastAsia="仿宋_GB2312" w:cs="仿宋_GB2312"/>
          <w:color w:val="000000"/>
          <w:sz w:val="32"/>
          <w:szCs w:val="32"/>
          <w:lang w:eastAsia="zh-CN"/>
        </w:rPr>
        <w:t>驻马店市技师学院</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eastAsia="zh-CN"/>
        </w:rPr>
      </w:pPr>
      <w:r>
        <w:rPr>
          <w:rFonts w:hint="eastAsia" w:ascii="仿宋_GB2312" w:hAnsi="Calibri" w:eastAsia="仿宋_GB2312" w:cs="仿宋_GB2312"/>
          <w:sz w:val="32"/>
          <w:szCs w:val="32"/>
        </w:rPr>
        <w:t>5.</w:t>
      </w:r>
      <w:r>
        <w:rPr>
          <w:rFonts w:hint="eastAsia" w:ascii="仿宋_GB2312" w:eastAsia="仿宋_GB2312" w:cs="仿宋_GB2312"/>
          <w:color w:val="000000"/>
          <w:sz w:val="32"/>
          <w:szCs w:val="32"/>
          <w:lang w:eastAsia="zh-CN"/>
        </w:rPr>
        <w:t>驻马店市人才交流中心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eastAsia="仿宋_GB2312" w:cs="仿宋_GB2312"/>
          <w:sz w:val="32"/>
          <w:szCs w:val="32"/>
          <w:lang w:val="en-US" w:eastAsia="zh-CN"/>
        </w:rPr>
        <w:t>6</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驻马店市机关事业单位社会保险处</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eastAsia="zh-CN"/>
        </w:rPr>
      </w:pPr>
      <w:r>
        <w:rPr>
          <w:rFonts w:hint="eastAsia" w:ascii="仿宋_GB2312" w:eastAsia="仿宋_GB2312" w:cs="仿宋_GB2312"/>
          <w:sz w:val="32"/>
          <w:szCs w:val="32"/>
          <w:lang w:val="en-US" w:eastAsia="zh-CN"/>
        </w:rPr>
        <w:t>7</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驻马店市劳动保障监察支队</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eastAsia="仿宋_GB2312" w:cs="仿宋_GB2312"/>
          <w:sz w:val="32"/>
          <w:szCs w:val="32"/>
          <w:lang w:val="en-US" w:eastAsia="zh-CN"/>
        </w:rPr>
        <w:t>8</w:t>
      </w:r>
      <w:r>
        <w:rPr>
          <w:rFonts w:hint="eastAsia" w:ascii="仿宋_GB2312" w:hAnsi="Calibri" w:eastAsia="仿宋_GB2312" w:cs="仿宋_GB2312"/>
          <w:sz w:val="32"/>
          <w:szCs w:val="32"/>
        </w:rPr>
        <w:t>.</w:t>
      </w:r>
      <w:r>
        <w:rPr>
          <w:rFonts w:hint="eastAsia" w:ascii="仿宋_GB2312" w:eastAsia="仿宋_GB2312" w:cs="仿宋_GB2312"/>
          <w:spacing w:val="-1"/>
          <w:sz w:val="32"/>
          <w:szCs w:val="32"/>
          <w:lang w:eastAsia="zh-CN"/>
        </w:rPr>
        <w:t>驻马店市公共就业服务中心</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eastAsia="zh-CN"/>
        </w:rPr>
      </w:pPr>
      <w:r>
        <w:rPr>
          <w:rFonts w:hint="eastAsia" w:ascii="仿宋_GB2312" w:eastAsia="仿宋_GB2312" w:cs="仿宋_GB2312"/>
          <w:sz w:val="32"/>
          <w:szCs w:val="32"/>
          <w:lang w:val="en-US" w:eastAsia="zh-CN"/>
        </w:rPr>
        <w:t>9</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驻马店市工伤保险处</w:t>
      </w:r>
    </w:p>
    <w:p>
      <w:pPr>
        <w:pStyle w:val="5"/>
        <w:keepNext w:val="0"/>
        <w:keepLines w:val="0"/>
        <w:pageBreakBefore w:val="0"/>
        <w:widowControl/>
        <w:suppressLineNumbers w:val="0"/>
        <w:wordWrap/>
        <w:overflowPunct w:val="0"/>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0</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驻马店市创业贷款担保中心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1</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驻马店市职业技能鉴定指导中心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2</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驻马店市人力资源和社会保障电子政务中心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Calibri" w:hAnsi="Calibri" w:cs="Calibri"/>
          <w:sz w:val="21"/>
          <w:szCs w:val="21"/>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3</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驻马店市人事考试中心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eastAsia="zh-CN"/>
        </w:rPr>
      </w:pPr>
      <w:r>
        <w:rPr>
          <w:rFonts w:hint="eastAsia" w:ascii="仿宋_GB2312" w:hAnsi="Calibri" w:eastAsia="仿宋_GB2312" w:cs="仿宋_GB2312"/>
          <w:sz w:val="32"/>
          <w:szCs w:val="32"/>
        </w:rPr>
        <w:t>1</w:t>
      </w:r>
      <w:r>
        <w:rPr>
          <w:rFonts w:hint="eastAsia" w:ascii="仿宋_GB2312" w:eastAsia="仿宋_GB2312" w:cs="仿宋_GB2312"/>
          <w:sz w:val="32"/>
          <w:szCs w:val="32"/>
          <w:lang w:val="en-US" w:eastAsia="zh-CN"/>
        </w:rPr>
        <w:t>4</w:t>
      </w:r>
      <w:r>
        <w:rPr>
          <w:rFonts w:hint="eastAsia" w:ascii="仿宋_GB2312" w:hAnsi="Calibri" w:eastAsia="仿宋_GB2312" w:cs="仿宋_GB2312"/>
          <w:sz w:val="32"/>
          <w:szCs w:val="32"/>
        </w:rPr>
        <w:t>.</w:t>
      </w:r>
      <w:r>
        <w:rPr>
          <w:rFonts w:hint="eastAsia" w:ascii="仿宋_GB2312" w:eastAsia="仿宋_GB2312" w:cs="仿宋_GB2312"/>
          <w:color w:val="000000"/>
          <w:sz w:val="32"/>
          <w:szCs w:val="32"/>
          <w:lang w:eastAsia="zh-CN"/>
        </w:rPr>
        <w:t>驻马店市劳动人事争议仲裁院</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15.驻马店市驿城区企业养老保险中心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16.驻马店市经济开发区企业养老保险中心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17.驻马店市西平县企业养老保险中心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18.驻马店市上蔡县企业养老保险中心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19.驻马店市平舆县企业养老保险中心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20.驻马店市正阳县企业养老保险中心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21.驻马店市确山县企业养老保险中心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22.驻马店市泌阳县企业养老保险中心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eastAsia"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23.驻马店市汝南县企业养老保险中心</w:t>
      </w:r>
    </w:p>
    <w:p>
      <w:pPr>
        <w:pStyle w:val="5"/>
        <w:keepNext w:val="0"/>
        <w:keepLines w:val="0"/>
        <w:pageBreakBefore w:val="0"/>
        <w:widowControl/>
        <w:suppressLineNumbers w:val="0"/>
        <w:wordWrap/>
        <w:topLinePunct w:val="0"/>
        <w:bidi w:val="0"/>
        <w:snapToGrid w:val="0"/>
        <w:spacing w:before="0" w:beforeAutospacing="0" w:after="0" w:afterAutospacing="0" w:line="579" w:lineRule="exact"/>
        <w:ind w:left="0" w:right="0" w:firstLine="640" w:firstLineChars="200"/>
        <w:jc w:val="left"/>
        <w:textAlignment w:val="auto"/>
        <w:rPr>
          <w:rFonts w:hint="default" w:ascii="仿宋_GB2312" w:eastAsia="仿宋_GB2312" w:cs="仿宋_GB2312"/>
          <w:color w:val="000000"/>
          <w:sz w:val="32"/>
          <w:szCs w:val="32"/>
          <w:lang w:val="en-US" w:eastAsia="zh-CN"/>
        </w:rPr>
      </w:pPr>
      <w:r>
        <w:rPr>
          <w:rFonts w:hint="eastAsia" w:ascii="仿宋_GB2312" w:eastAsia="仿宋_GB2312" w:cs="仿宋_GB2312"/>
          <w:color w:val="000000"/>
          <w:sz w:val="32"/>
          <w:szCs w:val="32"/>
          <w:lang w:val="en-US" w:eastAsia="zh-CN"/>
        </w:rPr>
        <w:t>24.驻马店市遂平县企业养老保险中心</w:t>
      </w: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 xml:space="preserve">人力资源和社会保障局                  </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17578.04</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17578.04</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增加2278.66</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14.89</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val="0"/>
          <w:bCs w:val="0"/>
          <w:color w:val="000000"/>
          <w:sz w:val="32"/>
          <w:szCs w:val="32"/>
        </w:rPr>
        <w:t>是</w:t>
      </w:r>
      <w:r>
        <w:rPr>
          <w:rFonts w:hint="eastAsia" w:ascii="仿宋" w:hAnsi="仿宋" w:eastAsia="仿宋" w:cs="仿宋_GB2312"/>
          <w:b w:val="0"/>
          <w:bCs w:val="0"/>
          <w:color w:val="000000"/>
          <w:sz w:val="32"/>
          <w:szCs w:val="32"/>
          <w:lang w:val="en-US" w:eastAsia="zh-CN"/>
        </w:rPr>
        <w:t>技师学院2021年高水平学校和高水平专业群资金652万元、2021年上半年免学费资金756.21万元，及技师学院生均经费增加</w:t>
      </w:r>
      <w:r>
        <w:rPr>
          <w:rFonts w:hint="eastAsia" w:ascii="仿宋" w:hAnsi="仿宋" w:eastAsia="仿宋" w:cs="仿宋_GB2312"/>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w:t>
      </w:r>
      <w:r>
        <w:rPr>
          <w:rFonts w:hint="eastAsia" w:ascii="仿宋" w:hAnsi="仿宋" w:eastAsia="仿宋"/>
          <w:sz w:val="32"/>
          <w:szCs w:val="32"/>
          <w:lang w:val="en-US" w:eastAsia="zh-CN"/>
        </w:rPr>
        <w:t>合计</w:t>
      </w:r>
      <w:r>
        <w:rPr>
          <w:rFonts w:hint="eastAsia" w:ascii="仿宋" w:hAnsi="仿宋" w:eastAsia="仿宋" w:cs="仿宋_GB2312"/>
          <w:color w:val="000000"/>
          <w:sz w:val="32"/>
          <w:szCs w:val="32"/>
          <w:lang w:val="en-US" w:eastAsia="zh-CN"/>
        </w:rPr>
        <w:t>17578.04</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16169.83</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上级转移支付1408.21万元</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cs="仿宋_GB2312"/>
          <w:color w:val="000000"/>
          <w:sz w:val="32"/>
          <w:szCs w:val="32"/>
          <w:lang w:val="en-US" w:eastAsia="zh-CN"/>
        </w:rPr>
        <w:t>17578.04</w:t>
      </w:r>
      <w:r>
        <w:rPr>
          <w:rFonts w:hint="eastAsia" w:ascii="仿宋" w:hAnsi="仿宋" w:eastAsia="仿宋"/>
          <w:sz w:val="32"/>
          <w:szCs w:val="32"/>
        </w:rPr>
        <w:t>万元，其中：基本支出</w:t>
      </w:r>
      <w:r>
        <w:rPr>
          <w:rFonts w:hint="eastAsia" w:ascii="仿宋" w:hAnsi="仿宋" w:eastAsia="仿宋"/>
          <w:sz w:val="32"/>
          <w:szCs w:val="32"/>
          <w:lang w:val="en-US" w:eastAsia="zh-CN"/>
        </w:rPr>
        <w:t>12940.81</w:t>
      </w:r>
      <w:r>
        <w:rPr>
          <w:rFonts w:hint="eastAsia" w:ascii="仿宋" w:hAnsi="仿宋" w:eastAsia="仿宋"/>
          <w:sz w:val="32"/>
          <w:szCs w:val="32"/>
        </w:rPr>
        <w:t>万元，占</w:t>
      </w:r>
      <w:r>
        <w:rPr>
          <w:rFonts w:hint="eastAsia" w:ascii="仿宋" w:hAnsi="仿宋" w:eastAsia="仿宋"/>
          <w:sz w:val="32"/>
          <w:szCs w:val="32"/>
          <w:lang w:val="en-US" w:eastAsia="zh-CN"/>
        </w:rPr>
        <w:t>73.62</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4637.23</w:t>
      </w:r>
      <w:r>
        <w:rPr>
          <w:rFonts w:hint="eastAsia" w:ascii="仿宋" w:hAnsi="仿宋" w:eastAsia="仿宋"/>
          <w:sz w:val="32"/>
          <w:szCs w:val="32"/>
        </w:rPr>
        <w:t>万元，占</w:t>
      </w:r>
      <w:r>
        <w:rPr>
          <w:rFonts w:hint="eastAsia" w:ascii="仿宋" w:hAnsi="仿宋" w:eastAsia="仿宋"/>
          <w:sz w:val="32"/>
          <w:szCs w:val="32"/>
          <w:lang w:val="en-US" w:eastAsia="zh-CN"/>
        </w:rPr>
        <w:t>26.38</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16169.83</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sz w:val="32"/>
          <w:szCs w:val="32"/>
          <w:lang w:val="en-US" w:eastAsia="zh-CN"/>
        </w:rPr>
        <w:t>增加1513.84</w:t>
      </w:r>
      <w:r>
        <w:rPr>
          <w:rFonts w:hint="eastAsia" w:ascii="仿宋" w:hAnsi="仿宋" w:eastAsia="仿宋"/>
          <w:sz w:val="32"/>
          <w:szCs w:val="32"/>
        </w:rPr>
        <w:t>万元，</w:t>
      </w:r>
      <w:r>
        <w:rPr>
          <w:rFonts w:hint="eastAsia" w:ascii="仿宋" w:hAnsi="仿宋" w:eastAsia="仿宋"/>
          <w:sz w:val="32"/>
          <w:szCs w:val="32"/>
          <w:lang w:val="en-US" w:eastAsia="zh-CN"/>
        </w:rPr>
        <w:t>上升10.33</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技师学院生均经费增加</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人力资源和社会保障局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16169.83</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150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0.93</w:t>
      </w:r>
      <w:r>
        <w:rPr>
          <w:rFonts w:ascii="仿宋" w:hAnsi="仿宋" w:eastAsia="仿宋" w:cs="仿宋_GB2312"/>
          <w:color w:val="000000"/>
          <w:sz w:val="32"/>
          <w:szCs w:val="32"/>
        </w:rPr>
        <w:t>%</w:t>
      </w:r>
      <w:r>
        <w:rPr>
          <w:rFonts w:hint="eastAsia" w:ascii="仿宋" w:hAnsi="仿宋" w:eastAsia="仿宋" w:cs="仿宋_GB2312"/>
          <w:color w:val="000000"/>
          <w:sz w:val="32"/>
          <w:szCs w:val="32"/>
        </w:rPr>
        <w:t>；教育（类）支出</w:t>
      </w:r>
      <w:r>
        <w:rPr>
          <w:rFonts w:hint="eastAsia" w:ascii="仿宋" w:hAnsi="仿宋" w:eastAsia="仿宋" w:cs="仿宋_GB2312"/>
          <w:color w:val="000000"/>
          <w:sz w:val="32"/>
          <w:szCs w:val="32"/>
          <w:lang w:val="en-US" w:eastAsia="zh-CN"/>
        </w:rPr>
        <w:t>7442.21万元，占46.03%；</w:t>
      </w:r>
      <w:r>
        <w:rPr>
          <w:rFonts w:hint="eastAsia" w:ascii="仿宋" w:hAnsi="仿宋" w:eastAsia="仿宋" w:cs="仿宋_GB2312"/>
          <w:color w:val="000000"/>
          <w:sz w:val="32"/>
          <w:szCs w:val="32"/>
        </w:rPr>
        <w:t>社会保障和就业（类）支出</w:t>
      </w:r>
      <w:r>
        <w:rPr>
          <w:rFonts w:hint="eastAsia" w:ascii="仿宋" w:hAnsi="仿宋" w:eastAsia="仿宋" w:cs="仿宋_GB2312"/>
          <w:color w:val="000000"/>
          <w:sz w:val="32"/>
          <w:szCs w:val="32"/>
          <w:lang w:val="en-US" w:eastAsia="zh-CN"/>
        </w:rPr>
        <w:t>7262.55</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44.91</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；卫生健康（类）支出</w:t>
      </w:r>
      <w:r>
        <w:rPr>
          <w:rFonts w:hint="eastAsia" w:ascii="仿宋" w:hAnsi="仿宋" w:eastAsia="仿宋" w:cs="仿宋_GB2312"/>
          <w:color w:val="000000"/>
          <w:sz w:val="32"/>
          <w:szCs w:val="32"/>
          <w:lang w:val="en-US" w:eastAsia="zh-CN"/>
        </w:rPr>
        <w:t>725.59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4.49</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；住房保障（类）支出</w:t>
      </w:r>
      <w:r>
        <w:rPr>
          <w:rFonts w:hint="eastAsia" w:ascii="仿宋" w:hAnsi="仿宋" w:eastAsia="仿宋" w:cs="仿宋_GB2312"/>
          <w:color w:val="000000"/>
          <w:sz w:val="32"/>
          <w:szCs w:val="32"/>
          <w:lang w:val="en-US" w:eastAsia="zh-CN"/>
        </w:rPr>
        <w:t>589.48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3.64</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cs="仿宋_GB2312"/>
          <w:color w:val="000000"/>
          <w:sz w:val="32"/>
          <w:szCs w:val="32"/>
          <w:lang w:val="en-US" w:eastAsia="zh-CN"/>
        </w:rPr>
        <w:t>12940.81</w:t>
      </w:r>
      <w:r>
        <w:rPr>
          <w:rFonts w:hint="eastAsia" w:ascii="仿宋" w:hAnsi="仿宋" w:eastAsia="仿宋"/>
          <w:sz w:val="32"/>
          <w:szCs w:val="32"/>
        </w:rPr>
        <w:t>万元，其中：人员经费</w:t>
      </w:r>
      <w:r>
        <w:rPr>
          <w:rFonts w:hint="eastAsia" w:ascii="仿宋" w:hAnsi="仿宋" w:eastAsia="仿宋"/>
          <w:sz w:val="32"/>
          <w:szCs w:val="32"/>
          <w:lang w:val="en-US" w:eastAsia="zh-CN"/>
        </w:rPr>
        <w:t>11969.04</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971.77</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20.5</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16.03</w:t>
      </w:r>
      <w:r>
        <w:rPr>
          <w:rFonts w:hint="eastAsia" w:ascii="仿宋" w:hAnsi="仿宋" w:eastAsia="仿宋"/>
          <w:sz w:val="32"/>
          <w:szCs w:val="32"/>
        </w:rPr>
        <w:t>万元，下降了</w:t>
      </w:r>
      <w:r>
        <w:rPr>
          <w:rFonts w:hint="eastAsia" w:ascii="仿宋" w:hAnsi="仿宋" w:eastAsia="仿宋"/>
          <w:sz w:val="32"/>
          <w:szCs w:val="32"/>
          <w:lang w:val="en-US" w:eastAsia="zh-CN"/>
        </w:rPr>
        <w:t>43.88</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20.08</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r>
        <w:rPr>
          <w:rFonts w:hint="eastAsia" w:ascii="仿宋" w:hAnsi="仿宋" w:eastAsia="仿宋"/>
          <w:sz w:val="32"/>
          <w:szCs w:val="32"/>
          <w:lang w:val="en-US" w:eastAsia="zh-CN"/>
        </w:rPr>
        <w:t>。</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20.08万元，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15.65</w:t>
      </w:r>
      <w:r>
        <w:rPr>
          <w:rFonts w:hint="eastAsia" w:ascii="仿宋" w:hAnsi="仿宋" w:eastAsia="仿宋"/>
          <w:sz w:val="32"/>
          <w:szCs w:val="32"/>
        </w:rPr>
        <w:t>万元，下降了</w:t>
      </w:r>
      <w:r>
        <w:rPr>
          <w:rFonts w:hint="eastAsia" w:ascii="仿宋" w:hAnsi="仿宋" w:eastAsia="仿宋"/>
          <w:sz w:val="32"/>
          <w:szCs w:val="32"/>
          <w:lang w:val="en-US" w:eastAsia="zh-CN"/>
        </w:rPr>
        <w:t>43.80</w:t>
      </w:r>
      <w:r>
        <w:rPr>
          <w:rFonts w:ascii="仿宋" w:hAnsi="仿宋" w:eastAsia="仿宋"/>
          <w:sz w:val="32"/>
          <w:szCs w:val="32"/>
        </w:rPr>
        <w:t>%</w:t>
      </w:r>
      <w:r>
        <w:rPr>
          <w:rFonts w:hint="eastAsia" w:ascii="仿宋" w:hAnsi="仿宋" w:eastAsia="仿宋"/>
          <w:sz w:val="32"/>
          <w:szCs w:val="32"/>
        </w:rPr>
        <w:t>，主要原因是贯彻落实</w:t>
      </w:r>
      <w:r>
        <w:rPr>
          <w:rFonts w:hint="eastAsia" w:ascii="仿宋" w:hAnsi="仿宋" w:eastAsia="仿宋"/>
          <w:sz w:val="32"/>
          <w:szCs w:val="32"/>
          <w:lang w:val="en-US" w:eastAsia="zh-CN"/>
        </w:rPr>
        <w:t>市</w:t>
      </w:r>
      <w:r>
        <w:rPr>
          <w:rFonts w:hint="eastAsia" w:ascii="仿宋" w:hAnsi="仿宋" w:eastAsia="仿宋"/>
          <w:sz w:val="32"/>
          <w:szCs w:val="32"/>
        </w:rPr>
        <w:t>委、</w:t>
      </w:r>
      <w:r>
        <w:rPr>
          <w:rFonts w:hint="eastAsia" w:ascii="仿宋" w:hAnsi="仿宋" w:eastAsia="仿宋"/>
          <w:sz w:val="32"/>
          <w:szCs w:val="32"/>
          <w:lang w:val="en-US" w:eastAsia="zh-CN"/>
        </w:rPr>
        <w:t>市</w:t>
      </w:r>
      <w:r>
        <w:rPr>
          <w:rFonts w:hint="eastAsia" w:ascii="仿宋" w:hAnsi="仿宋" w:eastAsia="仿宋"/>
          <w:sz w:val="32"/>
          <w:szCs w:val="32"/>
        </w:rPr>
        <w:t>政府关于过“紧日子”的要求，厉行节约。</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0.42</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0.38</w:t>
      </w:r>
      <w:r>
        <w:rPr>
          <w:rFonts w:hint="eastAsia" w:ascii="仿宋" w:hAnsi="仿宋" w:eastAsia="仿宋"/>
          <w:sz w:val="32"/>
          <w:szCs w:val="32"/>
        </w:rPr>
        <w:t>万元，下降了</w:t>
      </w:r>
      <w:r>
        <w:rPr>
          <w:rFonts w:hint="eastAsia" w:ascii="仿宋" w:hAnsi="仿宋" w:eastAsia="仿宋"/>
          <w:sz w:val="32"/>
          <w:szCs w:val="32"/>
          <w:lang w:val="en-US" w:eastAsia="zh-CN"/>
        </w:rPr>
        <w:t>47.50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r>
        <w:rPr>
          <w:rFonts w:hint="eastAsia" w:ascii="仿宋" w:hAnsi="仿宋" w:eastAsia="仿宋"/>
          <w:sz w:val="32"/>
          <w:szCs w:val="32"/>
        </w:rPr>
        <w:t>严格执行《党政机关国内公务接待管理规定》等办法，不断规范公务接待管理，严格接待审批控制，厉行勤俭节约，不断压缩公务接待费支出。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人力资源和社会保障局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1416.87</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4822.18</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2191.59</w:t>
      </w:r>
      <w:r>
        <w:rPr>
          <w:rFonts w:hint="eastAsia" w:ascii="仿宋" w:hAnsi="仿宋" w:eastAsia="仿宋"/>
          <w:sz w:val="32"/>
          <w:szCs w:val="32"/>
        </w:rPr>
        <w:t>万元，政府采购服务预算</w:t>
      </w:r>
      <w:r>
        <w:rPr>
          <w:rFonts w:hint="eastAsia" w:ascii="仿宋" w:hAnsi="仿宋" w:eastAsia="仿宋"/>
          <w:sz w:val="32"/>
          <w:szCs w:val="32"/>
          <w:lang w:val="en-US" w:eastAsia="zh-CN"/>
        </w:rPr>
        <w:t>2630.59</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年期末，我局共有车辆</w:t>
      </w:r>
      <w:r>
        <w:rPr>
          <w:rFonts w:hint="eastAsia" w:ascii="仿宋" w:hAnsi="仿宋" w:eastAsia="仿宋"/>
          <w:sz w:val="32"/>
          <w:szCs w:val="32"/>
          <w:lang w:val="en-US" w:eastAsia="zh-CN"/>
        </w:rPr>
        <w:t>28</w:t>
      </w:r>
      <w:r>
        <w:rPr>
          <w:rFonts w:hint="eastAsia" w:ascii="仿宋" w:hAnsi="仿宋" w:eastAsia="仿宋"/>
          <w:sz w:val="32"/>
          <w:szCs w:val="32"/>
        </w:rPr>
        <w:t>辆，其中：一般公务用车</w:t>
      </w:r>
      <w:r>
        <w:rPr>
          <w:rFonts w:hint="eastAsia" w:ascii="仿宋" w:hAnsi="仿宋" w:eastAsia="仿宋"/>
          <w:sz w:val="32"/>
          <w:szCs w:val="32"/>
          <w:lang w:val="en-US" w:eastAsia="zh-CN"/>
        </w:rPr>
        <w:t>28</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10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人力资源和社会保障局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kZTJlMTQ2YThmZWRjNTgwMTUyYWUzYTE4OTdlYzcifQ=="/>
  </w:docVars>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2F11905"/>
    <w:rsid w:val="13905055"/>
    <w:rsid w:val="1EFB577C"/>
    <w:rsid w:val="2629169E"/>
    <w:rsid w:val="2D3658A7"/>
    <w:rsid w:val="34787E99"/>
    <w:rsid w:val="3F32677A"/>
    <w:rsid w:val="4DA761CD"/>
    <w:rsid w:val="4FAA0C3D"/>
    <w:rsid w:val="574274F8"/>
    <w:rsid w:val="5B4D780A"/>
    <w:rsid w:val="6BE9284A"/>
    <w:rsid w:val="7D9531B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5110</Words>
  <Characters>5483</Characters>
  <Lines>41</Lines>
  <Paragraphs>11</Paragraphs>
  <TotalTime>17</TotalTime>
  <ScaleCrop>false</ScaleCrop>
  <LinksUpToDate>false</LinksUpToDate>
  <CharactersWithSpaces>5522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admin</cp:lastModifiedBy>
  <cp:lastPrinted>2018-03-22T04:03:00Z</cp:lastPrinted>
  <dcterms:modified xsi:type="dcterms:W3CDTF">2022-08-25T09:34:09Z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67AD57949D2C437E93CEA015EC2ED69F</vt:lpwstr>
  </property>
</Properties>
</file>