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bidi w:val="0"/>
        <w:adjustRightInd w:val="0"/>
        <w:snapToGrid w:val="0"/>
        <w:spacing w:line="600" w:lineRule="exact"/>
        <w:ind w:right="566" w:firstLine="640" w:firstLineChars="200"/>
        <w:textAlignment w:val="auto"/>
        <w:rPr>
          <w:rFonts w:hint="eastAsia" w:ascii="黑体" w:hAnsi="Times New Roman" w:eastAsia="黑体" w:cs="黑体"/>
          <w:sz w:val="32"/>
          <w:szCs w:val="32"/>
        </w:rPr>
      </w:pPr>
    </w:p>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lang w:val="en-US" w:eastAsia="zh-CN"/>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工业和信息化局</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工信</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工业和信息化</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工业和信息化局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工业和信息化</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工业和信息化</w:t>
      </w:r>
      <w:r>
        <w:rPr>
          <w:rFonts w:hint="eastAsia" w:ascii="黑体" w:hAnsi="黑体" w:eastAsia="黑体"/>
          <w:sz w:val="32"/>
          <w:szCs w:val="32"/>
        </w:rPr>
        <w:t>局主要职能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根据《中共驻马店市委驻马店市人民政府关于印发〈驻马店市机构改革方案〉的通知》（驻发〔2018〕23号）</w:t>
      </w:r>
      <w:r>
        <w:rPr>
          <w:rFonts w:hint="eastAsia" w:ascii="仿宋_GB2312" w:hAnsi="仿宋_GB2312" w:eastAsia="仿宋_GB2312" w:cs="仿宋_GB2312"/>
          <w:sz w:val="32"/>
          <w:szCs w:val="32"/>
          <w:lang w:val="en-US" w:eastAsia="zh-CN"/>
        </w:rPr>
        <w:t>文件规定，驻马店市工业和信息化局是市政府工作部门，贯彻落实党中央关于工业和信息化的方针政策和决策部署，在履行职责过程中坚持和加强党对工业和信息化工作的集中统一领导。主要职责是：</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贯彻执行国家和省有关工业和信息化的法律、法规和方针政策，协调解决新型工业化进程中的重大问题，拟订并组织实施全市工业和信息化的发展规划和推动传统产业技术改造相关政策，推进产业结构战略性调整和优化升级，推进信息化和工业化融合。</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（二）拟订并组织实施全市工业行业规划、计划和产业政策，提出优化产业布局和结构的政策建议；引导和扶持工业和信息产业发展，拟订并组织实施行业技术规范和标准，指导行业质量管理工作。</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监测分析全市工业运行态势，统计并发布相关信息，进行预测预警和信息引导，协调解决行业运行发展中的有关问题并提出政策建议；指导相关行业加强安全生产管理，负责工业行业领域安全生产应急管理、产业安全等相关工作。</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拟订并组织实施全市制造业服务化、平台化发展中长期规划和年度计划，促进制造业和生产性服务业融合发展，推进产业融合、生产性服务业功能区和公共服务平台建设；促进供应链管理技术推广应用，协同推进现代物流业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负责提出全市工业和信息化固定资产投资规模和方向（含利用外资和境外投资），省对口部门和本市用于工业和信息化财政性建设资金安排的意见，按照国务院和省、市政府规定权限审批、核准国家和省、市规划内和年度计划规模内固定资产投资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组织实施国家高技术产业中涉及生物医药、新材料、航空航天、信息产业等的规划、政策和标准，指导行业技术创新和技术进步，以先进适用技术改造提升传统产业，组织实施国家和省、市有关科技重大专项，推进相关科研成果产业化，推动全市软件业、信息服务业和新兴产业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拟订并组织实施全市工业和信息化的能源节约和资源综合利用、循环经济、绿色化改造促进政策，参与拟订能源节约和资源综合利用、循环经济、绿色化改造促进规划、政策，组织协调相关重大示范工程建设和新产品、新技术、新设备、新材料推广应用。</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负责全市振兴装备制造业的组织协调工作，组织拟订重大技术装备发展和自主创新的规划、政策，依托国家和省重点工程建设协调有关重大专项的实施，推进重大技术装备国产化，指导引进重大技术装备的消化创新。</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负责全市中小企业、民营经济发展的宏观指导，拟订并组织实施中小企业发展中长期规划；负责推动建立完善中小企业服务体系，协调解决重大问题；会同有关部门拟订促进中小企业发展和非公有经济发展的相关政策、措施并监督检查执行情况。</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统筹推进全市信息化工作，组织拟订相关政策并协调信息化建设中的重大问题；促进电信、广播电视和计算机网络融合，指导协调工业电子商务平台建设，推动跨行业等互联互通和重要信息资源的开发利用共享；推进物联网、云计算、大数据等基于信息技术的</w:t>
      </w:r>
      <w:r>
        <w:rPr>
          <w:rFonts w:hint="eastAsia" w:ascii="仿宋_GB2312" w:hAnsi="仿宋_GB2312" w:eastAsia="仿宋_GB2312" w:cs="仿宋_GB2312"/>
          <w:sz w:val="32"/>
          <w:szCs w:val="32"/>
          <w:lang w:val="en-US" w:eastAsia="zh-CN"/>
        </w:rPr>
        <w:t>新</w:t>
      </w:r>
      <w:r>
        <w:rPr>
          <w:rFonts w:hint="default" w:ascii="仿宋_GB2312" w:hAnsi="仿宋_GB2312" w:eastAsia="仿宋_GB2312" w:cs="仿宋_GB2312"/>
          <w:sz w:val="32"/>
          <w:szCs w:val="32"/>
          <w:lang w:val="en-US" w:eastAsia="zh-CN"/>
        </w:rPr>
        <w:t>兴业态发展。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一）承担相关信息安全管理责任；负责协调维护全市网络安全和网络安全保障体系建设，指导监督重点行业的关键信息基础设施和基础网络的相关安全保障工作；承担信息安全应急协调工作，协调处理重大事件。</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二）负责全市工业和信息化领域对外交流合作事务，研究拟订支持政策措施；指导各地开展相关产业交流合作工作，督促交流合作签约项目落实情况；拟订并组织实施全市制造业对外合作年度行动计划，编制发布我市工业和信息化领域产业合作指南；研究协调产业转移示范区发展中的重大问题，提出政策建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三）贯彻落实国家、省、市煤炭行业法律、法规和有关政策，研究拟订全市煤炭及煤层气发展政策；负责全市煤矿安全生产监督管理，安全生产许可、生产能力监管、安全评价机构资质认定、安全设施设计审查和标准化建设；对煤矿建设项目提出行业审核意见；负责全市煤碳经营监督管理；承担大型煤矿机电设施检验检测工作的监督管理职责；指导全市煤炭建设工程质量监督工作；参与煤矿事故调查处理。</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（十四）完成市委、市政府交办的其他任务。</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五）与市发展和改革委员会相关职责分工。市发展和改革委员会承担编制煤炭、煤炭清洁利用等相关能源发展规划、计划和拟订相关政策措施等职责，涉及煤炭的部分应征求市工业和信息化局的意见。市工业和信息化局在相关能源发展规划内制定煤炭工业发展专项规划，统一负责煤炭工业管理职责，市发展和改革委员会按规定权限审批、核准或上报国家、省、市投资主管部门、能源行业主管部门审批、核准煤矿新建、改建、扩建项目，须征求市工业和信息化局意见，市工业和信息化局负责提出行业审核意见。</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工业和信息化</w:t>
      </w:r>
      <w:r>
        <w:rPr>
          <w:rFonts w:hint="eastAsia" w:ascii="黑体" w:hAnsi="黑体" w:eastAsia="黑体"/>
          <w:sz w:val="32"/>
          <w:szCs w:val="32"/>
        </w:rPr>
        <w:t>局机构设置及预算单位构成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马店市工业和信息化局内设11个职能科室，分别是办公室、行政审批服务科（政策法规与工业招商科）、规划与财务科、科技与电子信息科（节能环保科）、运行监测协调科、中小企业服务科（民营经济发展服务科）、装备与材料工业科（市重大技术装备办公室、市稀土办公室）、信息化与产业融合科、安全与煤炭管理科（市禁止化学武器公约事务办公室）、消费品与食品工业科（市食品工业办公室）、人事科。</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驻马店市工业和信息化局部门预算包括局机关本级预算和局属单位预算。</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_GB2312" w:hAnsi="Times New Roman" w:eastAsia="仿宋_GB2312" w:cs="仿宋_GB2312"/>
          <w:kern w:val="0"/>
          <w:sz w:val="32"/>
          <w:szCs w:val="32"/>
          <w:lang w:eastAsia="zh-CN"/>
        </w:rPr>
      </w:pPr>
      <w:r>
        <w:rPr>
          <w:rFonts w:ascii="仿宋_GB2312" w:hAnsi="Times New Roman" w:eastAsia="仿宋_GB2312" w:cs="仿宋_GB2312"/>
          <w:spacing w:val="-1"/>
          <w:kern w:val="0"/>
          <w:sz w:val="32"/>
          <w:szCs w:val="32"/>
        </w:rPr>
        <w:t>1</w:t>
      </w:r>
      <w:r>
        <w:rPr>
          <w:rFonts w:hint="eastAsia" w:ascii="仿宋_GB2312" w:hAnsi="Times New Roman" w:eastAsia="仿宋_GB2312" w:cs="仿宋_GB2312"/>
          <w:spacing w:val="-1"/>
          <w:kern w:val="0"/>
          <w:sz w:val="32"/>
          <w:szCs w:val="32"/>
        </w:rPr>
        <w:t>.</w:t>
      </w:r>
      <w:r>
        <w:rPr>
          <w:rFonts w:hint="eastAsia" w:ascii="仿宋_GB2312" w:hAnsi="Times New Roman" w:eastAsia="仿宋_GB2312" w:cs="仿宋_GB2312"/>
          <w:spacing w:val="2"/>
          <w:kern w:val="0"/>
          <w:sz w:val="32"/>
          <w:szCs w:val="32"/>
        </w:rPr>
        <w:t>驻马店市工业和信息化局</w:t>
      </w:r>
      <w:r>
        <w:rPr>
          <w:rFonts w:hint="eastAsia" w:ascii="仿宋_GB2312" w:hAnsi="Times New Roman" w:eastAsia="仿宋_GB2312" w:cs="仿宋_GB2312"/>
          <w:spacing w:val="-1"/>
          <w:kern w:val="0"/>
          <w:sz w:val="32"/>
          <w:szCs w:val="32"/>
        </w:rPr>
        <w:t>机关本级</w:t>
      </w:r>
      <w:r>
        <w:rPr>
          <w:rFonts w:hint="eastAsia" w:ascii="仿宋_GB2312" w:hAnsi="Times New Roman" w:eastAsia="仿宋_GB2312" w:cs="仿宋_GB2312"/>
          <w:spacing w:val="-1"/>
          <w:kern w:val="0"/>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lang w:val="en-US" w:eastAsia="zh-CN"/>
        </w:rPr>
        <w:t>2</w:t>
      </w:r>
      <w:r>
        <w:rPr>
          <w:rFonts w:hint="eastAsia" w:ascii="仿宋_GB2312" w:hAnsi="Times New Roman" w:eastAsia="仿宋_GB2312" w:cs="仿宋_GB2312"/>
          <w:spacing w:val="-1"/>
          <w:kern w:val="0"/>
          <w:sz w:val="32"/>
          <w:szCs w:val="32"/>
        </w:rPr>
        <w:t>.驻马店</w:t>
      </w:r>
      <w:r>
        <w:rPr>
          <w:rFonts w:hint="eastAsia" w:ascii="仿宋" w:hAnsi="仿宋" w:eastAsia="仿宋"/>
          <w:sz w:val="32"/>
          <w:szCs w:val="32"/>
        </w:rPr>
        <w:t>市信息中心</w:t>
      </w:r>
      <w:r>
        <w:rPr>
          <w:rFonts w:hint="eastAsia" w:ascii="仿宋_GB2312" w:hAnsi="Times New Roman" w:eastAsia="仿宋_GB2312" w:cs="仿宋_GB2312"/>
          <w:spacing w:val="-1"/>
          <w:kern w:val="0"/>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lang w:val="en-US" w:eastAsia="zh-CN"/>
        </w:rPr>
        <w:t>3</w:t>
      </w:r>
      <w:r>
        <w:rPr>
          <w:rFonts w:hint="eastAsia" w:ascii="仿宋_GB2312" w:hAnsi="Times New Roman" w:eastAsia="仿宋_GB2312" w:cs="仿宋_GB2312"/>
          <w:spacing w:val="-1"/>
          <w:kern w:val="0"/>
          <w:sz w:val="32"/>
          <w:szCs w:val="32"/>
        </w:rPr>
        <w:t>.</w:t>
      </w:r>
      <w:r>
        <w:rPr>
          <w:rFonts w:hint="eastAsia" w:ascii="仿宋" w:hAnsi="仿宋" w:eastAsia="仿宋"/>
          <w:sz w:val="32"/>
          <w:szCs w:val="32"/>
        </w:rPr>
        <w:t>驻马店市企业维权服务中心</w:t>
      </w:r>
      <w:r>
        <w:rPr>
          <w:rFonts w:hint="eastAsia" w:ascii="仿宋_GB2312" w:eastAsia="仿宋_GB2312"/>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 w:hAnsi="仿宋" w:eastAsia="仿宋"/>
          <w:sz w:val="32"/>
          <w:szCs w:val="32"/>
          <w:lang w:eastAsia="zh-CN"/>
        </w:rPr>
      </w:pPr>
      <w:r>
        <w:rPr>
          <w:rFonts w:hint="eastAsia" w:ascii="仿宋_GB2312" w:hAnsi="Times New Roman" w:eastAsia="仿宋_GB2312" w:cs="仿宋_GB2312"/>
          <w:spacing w:val="-1"/>
          <w:kern w:val="0"/>
          <w:sz w:val="32"/>
          <w:szCs w:val="32"/>
          <w:lang w:val="en-US" w:eastAsia="zh-CN"/>
        </w:rPr>
        <w:t>4</w:t>
      </w:r>
      <w:r>
        <w:rPr>
          <w:rFonts w:hint="eastAsia" w:ascii="仿宋_GB2312" w:hAnsi="Times New Roman" w:eastAsia="仿宋_GB2312" w:cs="仿宋_GB2312"/>
          <w:spacing w:val="-1"/>
          <w:kern w:val="0"/>
          <w:sz w:val="32"/>
          <w:szCs w:val="32"/>
        </w:rPr>
        <w:t>.</w:t>
      </w:r>
      <w:r>
        <w:rPr>
          <w:rFonts w:hint="eastAsia" w:ascii="仿宋" w:hAnsi="仿宋" w:eastAsia="仿宋"/>
          <w:sz w:val="32"/>
          <w:szCs w:val="32"/>
        </w:rPr>
        <w:t>驻马店市工业和信息化培训中心</w:t>
      </w:r>
      <w:r>
        <w:rPr>
          <w:rFonts w:hint="eastAsia" w:ascii="仿宋" w:hAnsi="仿宋" w:eastAsia="仿宋"/>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工业和信息化</w:t>
      </w:r>
      <w:r>
        <w:rPr>
          <w:rFonts w:hint="eastAsia" w:ascii="黑体" w:hAnsi="黑体" w:eastAsia="黑体" w:cs="黑体"/>
          <w:kern w:val="0"/>
          <w:sz w:val="36"/>
          <w:szCs w:val="36"/>
        </w:rPr>
        <w:t>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仿宋" w:hAnsi="仿宋" w:eastAsia="仿宋"/>
          <w:sz w:val="32"/>
          <w:szCs w:val="32"/>
          <w:lang w:eastAsia="zh-CN"/>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工信</w:t>
      </w:r>
      <w:r>
        <w:rPr>
          <w:rFonts w:hint="eastAsia" w:ascii="仿宋" w:hAnsi="仿宋" w:eastAsia="仿宋" w:cs="仿宋_GB2312"/>
          <w:sz w:val="32"/>
          <w:szCs w:val="32"/>
        </w:rPr>
        <w:t>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3213.89</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3213.89</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增加1181.89</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58</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w:t>
      </w:r>
      <w:r>
        <w:rPr>
          <w:rFonts w:hint="eastAsia" w:ascii="仿宋" w:hAnsi="仿宋" w:eastAsia="仿宋" w:cs="仿宋_GB2312"/>
          <w:sz w:val="32"/>
          <w:szCs w:val="32"/>
          <w:lang w:val="en-US" w:eastAsia="zh-CN"/>
        </w:rPr>
        <w:t>因是人员经费增加、项目经费增加。</w:t>
      </w:r>
    </w:p>
    <w:p>
      <w:pPr>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工信</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3213.89</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3213.89</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工信</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3213.89</w:t>
      </w:r>
      <w:r>
        <w:rPr>
          <w:rFonts w:hint="eastAsia" w:ascii="仿宋" w:hAnsi="仿宋" w:eastAsia="仿宋"/>
          <w:sz w:val="32"/>
          <w:szCs w:val="32"/>
        </w:rPr>
        <w:t>万元，其中：基本支出</w:t>
      </w:r>
      <w:r>
        <w:rPr>
          <w:rFonts w:hint="eastAsia" w:ascii="仿宋" w:hAnsi="仿宋" w:eastAsia="仿宋"/>
          <w:sz w:val="32"/>
          <w:szCs w:val="32"/>
          <w:lang w:val="en-US" w:eastAsia="zh-CN"/>
        </w:rPr>
        <w:t>1104.89</w:t>
      </w:r>
      <w:r>
        <w:rPr>
          <w:rFonts w:hint="eastAsia" w:ascii="仿宋" w:hAnsi="仿宋" w:eastAsia="仿宋"/>
          <w:sz w:val="32"/>
          <w:szCs w:val="32"/>
        </w:rPr>
        <w:t>万元，占</w:t>
      </w:r>
      <w:r>
        <w:rPr>
          <w:rFonts w:hint="eastAsia" w:ascii="仿宋" w:hAnsi="仿宋" w:eastAsia="仿宋"/>
          <w:sz w:val="32"/>
          <w:szCs w:val="32"/>
          <w:lang w:val="en-US" w:eastAsia="zh-CN"/>
        </w:rPr>
        <w:t>34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2109</w:t>
      </w:r>
      <w:r>
        <w:rPr>
          <w:rFonts w:hint="eastAsia" w:ascii="仿宋" w:hAnsi="仿宋" w:eastAsia="仿宋"/>
          <w:sz w:val="32"/>
          <w:szCs w:val="32"/>
        </w:rPr>
        <w:t>万元，占</w:t>
      </w:r>
      <w:r>
        <w:rPr>
          <w:rFonts w:hint="eastAsia" w:ascii="仿宋" w:hAnsi="仿宋" w:eastAsia="仿宋"/>
          <w:sz w:val="32"/>
          <w:szCs w:val="32"/>
          <w:lang w:val="en-US" w:eastAsia="zh-CN"/>
        </w:rPr>
        <w:t>66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工信</w:t>
      </w:r>
      <w:r>
        <w:rPr>
          <w:rFonts w:hint="eastAsia" w:ascii="仿宋" w:hAnsi="仿宋" w:eastAsia="仿宋" w:cs="仿宋_GB2312"/>
          <w:sz w:val="32"/>
          <w:szCs w:val="32"/>
        </w:rPr>
        <w:t>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3213.89</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val="en-US" w:eastAsia="zh-CN"/>
        </w:rPr>
        <w:t>增加1181.89</w:t>
      </w:r>
      <w:r>
        <w:rPr>
          <w:rFonts w:hint="eastAsia" w:ascii="仿宋" w:hAnsi="仿宋" w:eastAsia="仿宋"/>
          <w:sz w:val="32"/>
          <w:szCs w:val="32"/>
        </w:rPr>
        <w:t>万元，</w:t>
      </w:r>
      <w:r>
        <w:rPr>
          <w:rFonts w:hint="eastAsia" w:ascii="仿宋" w:hAnsi="仿宋" w:eastAsia="仿宋"/>
          <w:sz w:val="32"/>
          <w:szCs w:val="32"/>
          <w:lang w:val="en-US" w:eastAsia="zh-CN"/>
        </w:rPr>
        <w:t>上升58%，</w:t>
      </w:r>
      <w:r>
        <w:rPr>
          <w:rFonts w:hint="eastAsia" w:ascii="仿宋" w:hAnsi="仿宋" w:eastAsia="仿宋"/>
          <w:sz w:val="32"/>
          <w:szCs w:val="32"/>
        </w:rPr>
        <w:t>主要原因是人员经费增加、项目经费增加。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both"/>
        <w:rPr>
          <w:rFonts w:hint="eastAsia" w:ascii="仿宋" w:hAnsi="仿宋" w:eastAsia="仿宋" w:cs="仿宋_GB2312"/>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val="en-US" w:eastAsia="zh-CN"/>
        </w:rPr>
        <w:t>工信</w:t>
      </w:r>
      <w:r>
        <w:rPr>
          <w:rFonts w:hint="eastAsia" w:ascii="仿宋" w:hAnsi="仿宋" w:eastAsia="仿宋" w:cs="仿宋_GB2312"/>
          <w:color w:val="333333"/>
          <w:sz w:val="32"/>
          <w:szCs w:val="32"/>
        </w:rPr>
        <w:t>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333333"/>
          <w:sz w:val="32"/>
          <w:szCs w:val="32"/>
          <w:lang w:val="en-US" w:eastAsia="zh-CN"/>
        </w:rPr>
        <w:t>3213.89</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2788.05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87</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306.23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9.5</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80.35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2.5</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39.26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年一般公共预算基本支出1104.89万元，其中：人员经费</w:t>
      </w:r>
      <w:r>
        <w:rPr>
          <w:rFonts w:hint="eastAsia" w:ascii="仿宋" w:hAnsi="仿宋" w:eastAsia="仿宋"/>
          <w:sz w:val="32"/>
          <w:szCs w:val="32"/>
          <w:lang w:val="en-US" w:eastAsia="zh-CN"/>
        </w:rPr>
        <w:t>1020.52</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84.37</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8.2</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1.8</w:t>
      </w:r>
      <w:r>
        <w:rPr>
          <w:rFonts w:hint="eastAsia" w:ascii="仿宋" w:hAnsi="仿宋" w:eastAsia="仿宋"/>
          <w:sz w:val="32"/>
          <w:szCs w:val="32"/>
        </w:rPr>
        <w:t>万元，下降了</w:t>
      </w:r>
      <w:r>
        <w:rPr>
          <w:rFonts w:hint="eastAsia" w:ascii="仿宋" w:hAnsi="仿宋" w:eastAsia="仿宋"/>
          <w:sz w:val="32"/>
          <w:szCs w:val="32"/>
          <w:lang w:val="en-US" w:eastAsia="zh-CN"/>
        </w:rPr>
        <w:t>18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8.2</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0元。</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8.2万元，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增加3.4</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rPr>
        <w:t>了</w:t>
      </w:r>
      <w:r>
        <w:rPr>
          <w:rFonts w:hint="eastAsia" w:ascii="仿宋" w:hAnsi="仿宋" w:eastAsia="仿宋"/>
          <w:sz w:val="32"/>
          <w:szCs w:val="32"/>
          <w:lang w:val="en-US" w:eastAsia="zh-CN"/>
        </w:rPr>
        <w:t>71</w:t>
      </w:r>
      <w:r>
        <w:rPr>
          <w:rFonts w:ascii="仿宋" w:hAnsi="仿宋" w:eastAsia="仿宋"/>
          <w:sz w:val="32"/>
          <w:szCs w:val="32"/>
        </w:rPr>
        <w:t>%</w:t>
      </w:r>
      <w:r>
        <w:rPr>
          <w:rFonts w:hint="eastAsia" w:ascii="仿宋" w:hAnsi="仿宋" w:eastAsia="仿宋"/>
          <w:sz w:val="32"/>
          <w:szCs w:val="32"/>
        </w:rPr>
        <w:t>，主要原因</w:t>
      </w:r>
      <w:r>
        <w:rPr>
          <w:rFonts w:hint="eastAsia" w:ascii="仿宋" w:hAnsi="仿宋" w:eastAsia="仿宋"/>
          <w:sz w:val="32"/>
          <w:szCs w:val="32"/>
          <w:lang w:val="en-US" w:eastAsia="zh-CN"/>
        </w:rPr>
        <w:t>是开展服务企业、工业企业运行协调服务、盐业体制改革调研等工作增加了公车使用，运行维护费增加</w:t>
      </w:r>
      <w:r>
        <w:rPr>
          <w:rFonts w:hint="eastAsia" w:ascii="仿宋" w:hAnsi="仿宋" w:eastAsia="仿宋"/>
          <w:sz w:val="32"/>
          <w:szCs w:val="32"/>
        </w:rPr>
        <w:t>。</w:t>
      </w:r>
    </w:p>
    <w:p>
      <w:pPr>
        <w:spacing w:line="600" w:lineRule="exact"/>
        <w:ind w:firstLine="643" w:firstLineChars="200"/>
        <w:rPr>
          <w:rFonts w:hint="eastAsia" w:ascii="仿宋" w:hAnsi="仿宋" w:eastAsia="仿宋" w:cs="仿宋_GB2312"/>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6</w:t>
      </w:r>
      <w:r>
        <w:rPr>
          <w:rFonts w:hint="eastAsia" w:ascii="仿宋" w:hAnsi="仿宋" w:eastAsia="仿宋"/>
          <w:sz w:val="32"/>
          <w:szCs w:val="32"/>
        </w:rPr>
        <w:t>万元，下降了</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主要原因是严格执行《党政机关国内公务接待管理规定》等办法，不断规范公务接待管理，严格接待审批控制，厉行勤俭节约</w:t>
      </w:r>
      <w:r>
        <w:rPr>
          <w:rFonts w:hint="eastAsia" w:ascii="仿宋" w:hAnsi="仿宋" w:eastAsia="仿宋" w:cs="仿宋_GB2312"/>
          <w:sz w:val="32"/>
          <w:szCs w:val="32"/>
          <w:lang w:eastAsia="zh-CN"/>
        </w:rPr>
        <w:t>，落实压减三公经费支出的要求</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工信</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年机关运行经费支出预算为84.37万元，主要保障机构正常运转及政策履职需要。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160.5</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10</w:t>
      </w:r>
      <w:r>
        <w:rPr>
          <w:rFonts w:hint="eastAsia" w:ascii="仿宋" w:hAnsi="仿宋" w:eastAsia="仿宋"/>
          <w:sz w:val="32"/>
          <w:szCs w:val="32"/>
        </w:rPr>
        <w:t>万元，政府采购服务预算</w:t>
      </w:r>
      <w:r>
        <w:rPr>
          <w:rFonts w:hint="eastAsia" w:ascii="仿宋" w:hAnsi="仿宋" w:eastAsia="仿宋"/>
          <w:sz w:val="32"/>
          <w:szCs w:val="32"/>
          <w:lang w:val="en-US" w:eastAsia="zh-CN"/>
        </w:rPr>
        <w:t>150.5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3</w:t>
      </w:r>
      <w:r>
        <w:rPr>
          <w:rFonts w:hint="eastAsia" w:ascii="仿宋" w:hAnsi="仿宋" w:eastAsia="仿宋"/>
          <w:sz w:val="32"/>
          <w:szCs w:val="32"/>
        </w:rPr>
        <w:t>辆，</w:t>
      </w:r>
      <w:r>
        <w:rPr>
          <w:rFonts w:hint="eastAsia" w:ascii="仿宋" w:hAnsi="仿宋" w:eastAsia="仿宋"/>
          <w:sz w:val="32"/>
          <w:szCs w:val="32"/>
          <w:lang w:val="en-US" w:eastAsia="zh-CN"/>
        </w:rPr>
        <w:t>全部为</w:t>
      </w:r>
      <w:r>
        <w:rPr>
          <w:rFonts w:hint="eastAsia" w:ascii="仿宋" w:hAnsi="仿宋" w:eastAsia="仿宋"/>
          <w:sz w:val="32"/>
          <w:szCs w:val="32"/>
        </w:rPr>
        <w:t>一般公务用车</w:t>
      </w:r>
      <w:r>
        <w:rPr>
          <w:rFonts w:hint="eastAsia" w:ascii="仿宋" w:hAnsi="仿宋" w:eastAsia="仿宋"/>
          <w:sz w:val="32"/>
          <w:szCs w:val="32"/>
          <w:lang w:eastAsia="zh-CN"/>
        </w:rPr>
        <w:t>。</w:t>
      </w:r>
      <w:r>
        <w:rPr>
          <w:rFonts w:hint="eastAsia" w:ascii="仿宋" w:hAnsi="仿宋" w:eastAsia="仿宋"/>
          <w:sz w:val="32"/>
          <w:szCs w:val="32"/>
        </w:rPr>
        <w:t>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jc w:val="left"/>
        <w:rPr>
          <w:rFonts w:hint="eastAsia" w:ascii="仿宋" w:hAnsi="仿宋" w:eastAsia="仿宋" w:cs="仿宋_GB2312"/>
          <w:color w:val="000000"/>
          <w:sz w:val="32"/>
          <w:szCs w:val="32"/>
        </w:rPr>
      </w:pPr>
    </w:p>
    <w:p>
      <w:pPr>
        <w:ind w:firstLine="640" w:firstLineChars="200"/>
        <w:rPr>
          <w:rFonts w:hint="default" w:ascii="仿宋" w:hAnsi="仿宋" w:eastAsia="仿宋" w:cs="仿宋_GB2312"/>
          <w:sz w:val="32"/>
          <w:szCs w:val="32"/>
          <w:lang w:val="en-US" w:eastAsia="zh-CN"/>
        </w:rPr>
      </w:pPr>
    </w:p>
    <w:p>
      <w:pPr>
        <w:ind w:firstLine="640" w:firstLineChars="200"/>
        <w:rPr>
          <w:rFonts w:hint="default" w:ascii="仿宋" w:hAnsi="仿宋" w:eastAsia="仿宋" w:cs="仿宋_GB2312"/>
          <w:sz w:val="32"/>
          <w:szCs w:val="32"/>
          <w:lang w:val="en-US" w:eastAsia="zh-CN"/>
        </w:rPr>
      </w:pPr>
    </w:p>
    <w:p>
      <w:pPr>
        <w:ind w:firstLine="640" w:firstLineChars="200"/>
        <w:rPr>
          <w:rFonts w:hint="default" w:ascii="仿宋" w:hAnsi="仿宋" w:eastAsia="仿宋" w:cs="仿宋_GB2312"/>
          <w:sz w:val="32"/>
          <w:szCs w:val="32"/>
          <w:lang w:val="en-US" w:eastAsia="zh-CN"/>
        </w:rPr>
      </w:pPr>
    </w:p>
    <w:p>
      <w:pPr>
        <w:ind w:firstLine="640" w:firstLineChars="200"/>
        <w:rPr>
          <w:rFonts w:hint="default" w:ascii="仿宋" w:hAnsi="仿宋" w:eastAsia="仿宋" w:cs="仿宋_GB2312"/>
          <w:sz w:val="32"/>
          <w:szCs w:val="32"/>
          <w:lang w:val="en-US" w:eastAsia="zh-CN"/>
        </w:rPr>
      </w:pPr>
    </w:p>
    <w:p>
      <w:pPr>
        <w:ind w:firstLine="640" w:firstLineChars="200"/>
        <w:rPr>
          <w:rFonts w:hint="default" w:ascii="仿宋" w:hAnsi="仿宋" w:eastAsia="仿宋" w:cs="仿宋_GB2312"/>
          <w:sz w:val="32"/>
          <w:szCs w:val="32"/>
          <w:lang w:val="en-US" w:eastAsia="zh-CN"/>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hint="eastAsia" w:ascii="黑体" w:hAnsi="黑体" w:eastAsia="黑体" w:cs="黑体"/>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工业和信息化</w:t>
      </w:r>
      <w:r>
        <w:rPr>
          <w:rFonts w:hint="eastAsia" w:ascii="黑体" w:hAnsi="黑体" w:eastAsia="黑体" w:cs="黑体"/>
          <w:sz w:val="32"/>
          <w:szCs w:val="32"/>
        </w:rPr>
        <w:t>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adjustRightInd w:val="0"/>
        <w:snapToGrid w:val="0"/>
        <w:spacing w:line="600" w:lineRule="exact"/>
        <w:jc w:val="center"/>
        <w:rPr>
          <w:rFonts w:hint="eastAsia" w:ascii="黑体" w:hAnsi="黑体" w:eastAsia="黑体" w:cs="黑体"/>
          <w:sz w:val="32"/>
          <w:szCs w:val="32"/>
        </w:rPr>
      </w:pPr>
    </w:p>
    <w:p>
      <w:pPr>
        <w:spacing w:line="600" w:lineRule="exact"/>
      </w:pPr>
    </w:p>
    <w:p>
      <w:pPr>
        <w:ind w:firstLine="640" w:firstLineChars="200"/>
        <w:rPr>
          <w:rFonts w:hint="default" w:ascii="仿宋" w:hAnsi="仿宋" w:eastAsia="仿宋" w:cs="仿宋_GB2312"/>
          <w:sz w:val="32"/>
          <w:szCs w:val="32"/>
          <w:lang w:val="en-US" w:eastAsia="zh-CN"/>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2F152333"/>
    <w:rsid w:val="0CE27C20"/>
    <w:rsid w:val="1390137D"/>
    <w:rsid w:val="212F157E"/>
    <w:rsid w:val="29D66F7B"/>
    <w:rsid w:val="2A3F393C"/>
    <w:rsid w:val="2AD215C7"/>
    <w:rsid w:val="2B64308E"/>
    <w:rsid w:val="2F152333"/>
    <w:rsid w:val="3EB53870"/>
    <w:rsid w:val="4CF44717"/>
    <w:rsid w:val="50C9108C"/>
    <w:rsid w:val="58B55923"/>
    <w:rsid w:val="59220F41"/>
    <w:rsid w:val="5994161F"/>
    <w:rsid w:val="61041C09"/>
    <w:rsid w:val="752A2167"/>
    <w:rsid w:val="75BA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5075</Words>
  <Characters>5314</Characters>
  <Lines>0</Lines>
  <Paragraphs>0</Paragraphs>
  <TotalTime>220</TotalTime>
  <ScaleCrop>false</ScaleCrop>
  <LinksUpToDate>false</LinksUpToDate>
  <CharactersWithSpaces>5323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2021-03-30T08:36:00Z</dcterms:created>
  <dc:creator>哆哆粑粑</dc:creator>
  <cp:lastModifiedBy>admin</cp:lastModifiedBy>
  <dcterms:modified xsi:type="dcterms:W3CDTF">2022-08-25T09:52:44Z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807F2ACF43844D3A93C42C96B44FF6B1</vt:lpwstr>
  </property>
</Properties>
</file>