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600" w:lineRule="exact"/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asciiTheme="majorEastAsia" w:hAnsiTheme="majorEastAsia" w:eastAsiaTheme="majorEastAsia"/>
          <w:b/>
          <w:sz w:val="44"/>
          <w:szCs w:val="44"/>
        </w:rPr>
        <w:t>20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2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1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年驻马店市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招商投资促进局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部门预算</w:t>
      </w: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说明</w:t>
      </w:r>
    </w:p>
    <w:p>
      <w:pPr>
        <w:widowControl/>
        <w:spacing w:line="600" w:lineRule="exact"/>
        <w:ind w:firstLine="480"/>
        <w:jc w:val="center"/>
        <w:rPr>
          <w:rFonts w:ascii="仿宋" w:hAnsi="仿宋" w:eastAsia="仿宋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480"/>
        <w:jc w:val="center"/>
        <w:rPr>
          <w:rFonts w:ascii="宋体" w:cs="Times New Roman"/>
          <w:b/>
          <w:bCs/>
          <w:kern w:val="0"/>
          <w:sz w:val="52"/>
          <w:szCs w:val="52"/>
        </w:rPr>
      </w:pPr>
      <w:r>
        <w:rPr>
          <w:rFonts w:hint="eastAsia" w:ascii="宋体" w:hAnsi="宋体" w:cs="宋体"/>
          <w:b/>
          <w:bCs/>
          <w:kern w:val="0"/>
          <w:sz w:val="52"/>
          <w:szCs w:val="52"/>
        </w:rPr>
        <w:t>目</w:t>
      </w:r>
      <w:r>
        <w:rPr>
          <w:rFonts w:ascii="宋体" w:hAnsi="宋体" w:cs="宋体"/>
          <w:b/>
          <w:bCs/>
          <w:kern w:val="0"/>
          <w:sz w:val="52"/>
          <w:szCs w:val="52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52"/>
          <w:szCs w:val="52"/>
        </w:rPr>
        <w:t>录</w:t>
      </w:r>
    </w:p>
    <w:p>
      <w:pPr>
        <w:widowControl/>
        <w:spacing w:line="600" w:lineRule="exact"/>
        <w:ind w:firstLine="627" w:firstLineChars="196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第一部分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驻马店市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招商投资促进局</w:t>
      </w:r>
      <w:r>
        <w:rPr>
          <w:rFonts w:hint="eastAsia" w:ascii="黑体" w:hAnsi="黑体" w:eastAsia="黑体" w:cs="黑体"/>
          <w:kern w:val="0"/>
          <w:sz w:val="32"/>
          <w:szCs w:val="32"/>
        </w:rPr>
        <w:t>概况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一、主要职能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部门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机构设置及预算单位构成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第二部分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驻马店市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招商投资促进局</w:t>
      </w:r>
      <w:r>
        <w:rPr>
          <w:rFonts w:ascii="黑体" w:hAnsi="黑体" w:eastAsia="黑体" w:cs="黑体"/>
          <w:kern w:val="0"/>
          <w:sz w:val="32"/>
          <w:szCs w:val="32"/>
        </w:rPr>
        <w:t>20</w:t>
      </w:r>
      <w:r>
        <w:rPr>
          <w:rFonts w:hint="eastAsia" w:ascii="黑体" w:hAnsi="黑体" w:eastAsia="黑体" w:cs="黑体"/>
          <w:kern w:val="0"/>
          <w:sz w:val="32"/>
          <w:szCs w:val="32"/>
        </w:rPr>
        <w:t>2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kern w:val="0"/>
          <w:sz w:val="32"/>
          <w:szCs w:val="32"/>
        </w:rPr>
        <w:t>年度部门预算情况说明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二、收入预算总体情况说明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四、财政拨款收入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支出</w:t>
      </w:r>
      <w:r>
        <w:rPr>
          <w:rFonts w:hint="eastAsia" w:ascii="仿宋" w:hAnsi="仿宋" w:eastAsia="仿宋"/>
          <w:sz w:val="32"/>
          <w:szCs w:val="32"/>
        </w:rPr>
        <w:t>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六、一般公共预算基本支出预算情况说明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七、政府性基金预算支出</w:t>
      </w:r>
      <w:r>
        <w:rPr>
          <w:rFonts w:hint="eastAsia" w:ascii="仿宋" w:hAnsi="仿宋" w:eastAsia="仿宋"/>
          <w:sz w:val="32"/>
          <w:szCs w:val="32"/>
          <w:lang w:eastAsia="zh-CN"/>
        </w:rPr>
        <w:t>预</w:t>
      </w:r>
      <w:r>
        <w:rPr>
          <w:rFonts w:hint="eastAsia" w:ascii="仿宋" w:hAnsi="仿宋" w:eastAsia="仿宋"/>
          <w:sz w:val="32"/>
          <w:szCs w:val="32"/>
        </w:rPr>
        <w:t>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九、其他重要事项的情况说明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第三部分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名词解释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附件：驻马店市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招商投资促进局</w:t>
      </w:r>
      <w:r>
        <w:rPr>
          <w:rFonts w:ascii="黑体" w:hAnsi="黑体" w:eastAsia="黑体" w:cs="黑体"/>
          <w:kern w:val="0"/>
          <w:sz w:val="32"/>
          <w:szCs w:val="32"/>
        </w:rPr>
        <w:t>20</w:t>
      </w:r>
      <w:r>
        <w:rPr>
          <w:rFonts w:hint="eastAsia" w:ascii="黑体" w:hAnsi="黑体" w:eastAsia="黑体" w:cs="黑体"/>
          <w:kern w:val="0"/>
          <w:sz w:val="32"/>
          <w:szCs w:val="32"/>
        </w:rPr>
        <w:t>2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kern w:val="0"/>
          <w:sz w:val="32"/>
          <w:szCs w:val="32"/>
        </w:rPr>
        <w:t>年度部门预算表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一、部门收支总体情况表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二、部门收入总体情况表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三、部门支出总体情况表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六、支出经济分类汇总表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七、一般公共预算“三公”经费支出情况表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八、政府性基金预算支出情况表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九、重点项目预算的绩效目标表</w:t>
      </w: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  <w:jc w:val="both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第一部分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驻马店市</w:t>
      </w:r>
      <w:r>
        <w:rPr>
          <w:rFonts w:hint="eastAsia" w:ascii="黑体" w:hAnsi="黑体" w:eastAsia="黑体"/>
          <w:sz w:val="36"/>
          <w:szCs w:val="36"/>
          <w:lang w:eastAsia="zh-CN"/>
        </w:rPr>
        <w:t>招商投资促进局</w:t>
      </w:r>
      <w:r>
        <w:rPr>
          <w:rFonts w:hint="eastAsia" w:ascii="黑体" w:hAnsi="黑体" w:eastAsia="黑体"/>
          <w:sz w:val="36"/>
          <w:szCs w:val="36"/>
        </w:rPr>
        <w:t>概况</w:t>
      </w:r>
    </w:p>
    <w:p>
      <w:pPr>
        <w:spacing w:line="600" w:lineRule="exact"/>
      </w:pPr>
      <w:r>
        <w:t> 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一、驻马店市</w:t>
      </w:r>
      <w:r>
        <w:rPr>
          <w:rFonts w:hint="eastAsia" w:ascii="黑体" w:hAnsi="黑体" w:eastAsia="黑体"/>
          <w:sz w:val="32"/>
          <w:szCs w:val="32"/>
          <w:lang w:eastAsia="zh-CN"/>
        </w:rPr>
        <w:t>招商投资促进局</w:t>
      </w:r>
      <w:r>
        <w:rPr>
          <w:rFonts w:hint="eastAsia" w:ascii="黑体" w:hAnsi="黑体" w:eastAsia="黑体"/>
          <w:sz w:val="32"/>
          <w:szCs w:val="32"/>
        </w:rPr>
        <w:t>主要职能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根据中共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驻马店市委驻马店市人民政府</w:t>
      </w:r>
      <w:r>
        <w:rPr>
          <w:rFonts w:hint="eastAsia" w:ascii="仿宋_GB2312" w:hAnsi="仿宋" w:eastAsia="仿宋_GB2312" w:cs="仿宋_GB2312"/>
          <w:sz w:val="32"/>
          <w:szCs w:val="32"/>
        </w:rPr>
        <w:t>《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驻马店市招商投资促进局职能配置内设机构和人员编制规定</w:t>
      </w:r>
      <w:r>
        <w:rPr>
          <w:rFonts w:hint="eastAsia" w:ascii="仿宋_GB2312" w:hAnsi="仿宋" w:eastAsia="仿宋_GB2312" w:cs="仿宋_GB2312"/>
          <w:sz w:val="32"/>
          <w:szCs w:val="32"/>
        </w:rPr>
        <w:t>》</w:t>
      </w:r>
      <w:r>
        <w:rPr>
          <w:rFonts w:ascii="仿宋_GB2312" w:hAnsi="仿宋" w:eastAsia="仿宋_GB2312" w:cs="仿宋_GB2312"/>
          <w:sz w:val="32"/>
          <w:szCs w:val="32"/>
        </w:rPr>
        <w:t>(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驻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办文</w:t>
      </w:r>
      <w:r>
        <w:rPr>
          <w:rFonts w:hint="eastAsia" w:ascii="仿宋_GB2312" w:hAnsi="仿宋" w:eastAsia="仿宋_GB2312" w:cs="仿宋_GB2312"/>
          <w:sz w:val="32"/>
          <w:szCs w:val="32"/>
        </w:rPr>
        <w:t>〔</w:t>
      </w:r>
      <w:r>
        <w:rPr>
          <w:rFonts w:ascii="仿宋_GB2312" w:hAnsi="仿宋" w:eastAsia="仿宋_GB2312" w:cs="仿宋_GB2312"/>
          <w:sz w:val="32"/>
          <w:szCs w:val="32"/>
        </w:rPr>
        <w:t>20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" w:eastAsia="仿宋_GB2312" w:cs="仿宋_GB2312"/>
          <w:sz w:val="32"/>
          <w:szCs w:val="32"/>
        </w:rPr>
        <w:t>〕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35</w:t>
      </w:r>
      <w:r>
        <w:rPr>
          <w:rFonts w:hint="eastAsia" w:ascii="仿宋_GB2312" w:hAnsi="仿宋" w:eastAsia="仿宋_GB2312" w:cs="仿宋_GB2312"/>
          <w:sz w:val="32"/>
          <w:szCs w:val="32"/>
        </w:rPr>
        <w:t>号</w:t>
      </w:r>
      <w:r>
        <w:rPr>
          <w:rFonts w:ascii="仿宋_GB2312" w:hAnsi="仿宋" w:eastAsia="仿宋_GB2312" w:cs="仿宋_GB2312"/>
          <w:sz w:val="32"/>
          <w:szCs w:val="32"/>
        </w:rPr>
        <w:t>)</w:t>
      </w:r>
      <w:r>
        <w:rPr>
          <w:rFonts w:hint="eastAsia" w:ascii="仿宋_GB2312" w:hAnsi="仿宋" w:eastAsia="仿宋_GB2312" w:cs="仿宋_GB2312"/>
          <w:sz w:val="32"/>
          <w:szCs w:val="32"/>
        </w:rPr>
        <w:t>文件规定，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驻马店市招商投资促进局</w:t>
      </w:r>
      <w:r>
        <w:rPr>
          <w:rFonts w:hint="eastAsia" w:ascii="仿宋_GB2312" w:hAnsi="仿宋" w:eastAsia="仿宋_GB2312" w:cs="仿宋_GB2312"/>
          <w:sz w:val="32"/>
          <w:szCs w:val="32"/>
        </w:rPr>
        <w:t>为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" w:eastAsia="仿宋_GB2312" w:cs="仿宋_GB2312"/>
          <w:sz w:val="32"/>
          <w:szCs w:val="32"/>
        </w:rPr>
        <w:t>政府组成部门，主要职责是：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textAlignment w:val="auto"/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  <w:t>1.贯彻落实国家、省有关招商引资投资促进方面的法律法规和方针政策；拟订全市招商引资工作规划、计划和办法措施。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textAlignment w:val="auto"/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  <w:t>2.负责收集、筛选、包装、推介招商项目，建立招商项目库；负责招商引资信息化建设，统筹发布全市招商引资投资促进相关信息。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textAlignment w:val="auto"/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  <w:t>3.牵头组织全市性招商引资活动；协调指导各县区招商引资工作。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textAlignment w:val="auto"/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  <w:t>4.负责统筹推进中国（驻马店）国际农产品加工产业园招商引资工作；负责制定全市招商引资优惠政策和促进办法。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textAlignment w:val="auto"/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  <w:t>5.负责做好投资项目的洽谈、签约和实施工作；承担签约项目推进过程中的跟踪、协调和服务工作。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textAlignment w:val="auto"/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  <w:t>6.负责与国内外客商、商会和投资促进机构联系交流，建立外商联谊机制，完善重要客商资源库；做好重要客商接待服务工作。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textAlignment w:val="auto"/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  <w:t>7.负责受理投资企业的建议、意见和投诉事项，协调解决投资企业遇到的困难和问题。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textAlignment w:val="auto"/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  <w:t>8.负责指导市政府驻外办事处（联络处）招商引资工作。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textAlignment w:val="auto"/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  <w:t>9.负责全市招商引资目标任务的分解、督促、检查、统计、考核工作；负责组织实施市本级对招商引资项目各种促进政策的兑现工作。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textAlignment w:val="auto"/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  <w:t>10.负责加强和指导全市招商引资队伍建设。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textAlignment w:val="auto"/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  <w:t>11.与市商务局有关职责分工。市招商局、市商务局根据各自职责，分别对接省商务厅相关处室；承办以招商引资为主的事宜时，由市招商局牵头落实，市商务局积极配合；市商务局接到含有招商引资的文件、会议、活动等，及时通知市招商局。</w:t>
      </w:r>
    </w:p>
    <w:p>
      <w:pPr>
        <w:spacing w:line="60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二、驻马店市</w:t>
      </w:r>
      <w:r>
        <w:rPr>
          <w:rFonts w:hint="eastAsia" w:ascii="黑体" w:hAnsi="黑体" w:eastAsia="黑体"/>
          <w:sz w:val="32"/>
          <w:szCs w:val="32"/>
          <w:lang w:eastAsia="zh-CN"/>
        </w:rPr>
        <w:t>招商投资促进局</w:t>
      </w:r>
      <w:r>
        <w:rPr>
          <w:rFonts w:hint="eastAsia" w:ascii="黑体" w:hAnsi="黑体" w:eastAsia="黑体"/>
          <w:sz w:val="32"/>
          <w:szCs w:val="32"/>
        </w:rPr>
        <w:t>机构设置及预算单位构成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580" w:lineRule="exact"/>
        <w:ind w:firstLine="560" w:firstLineChars="200"/>
        <w:textAlignment w:val="auto"/>
        <w:outlineLvl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val="en-US" w:eastAsia="zh-CN"/>
        </w:rPr>
        <w:t>市招商投资促进局内设机构6个职能科室，包括：办公室、招商政策服务科、项目信息科、招商科、招商投资促进科、督导考核科。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right="118" w:firstLine="640" w:firstLineChars="200"/>
        <w:jc w:val="left"/>
        <w:textAlignment w:val="auto"/>
        <w:rPr>
          <w:rFonts w:ascii="Times New Roman" w:hAnsi="Times New Roman" w:eastAsia="仿宋_GB2312"/>
          <w:sz w:val="15"/>
          <w:szCs w:val="15"/>
        </w:rPr>
      </w:pPr>
      <w:r>
        <w:rPr>
          <w:rFonts w:hint="eastAsia" w:ascii="仿宋_GB2312" w:hAnsi="宋体" w:eastAsia="仿宋_GB2312" w:cs="Courier New"/>
          <w:kern w:val="0"/>
          <w:sz w:val="32"/>
          <w:szCs w:val="32"/>
          <w:lang w:val="en-US" w:eastAsia="zh-CN"/>
        </w:rPr>
        <w:t>市</w:t>
      </w:r>
      <w:r>
        <w:rPr>
          <w:rFonts w:hint="eastAsia" w:ascii="仿宋_GB2312" w:hAnsi="宋体" w:eastAsia="仿宋_GB2312" w:cs="Courier New"/>
          <w:kern w:val="0"/>
          <w:sz w:val="32"/>
          <w:szCs w:val="32"/>
          <w:lang w:eastAsia="zh-CN"/>
        </w:rPr>
        <w:t>招商投资促进局</w:t>
      </w:r>
      <w:r>
        <w:rPr>
          <w:rFonts w:hint="eastAsia" w:ascii="仿宋_GB2312" w:hAnsi="Times New Roman" w:eastAsia="仿宋_GB2312" w:cs="仿宋_GB2312"/>
          <w:spacing w:val="2"/>
          <w:kern w:val="0"/>
          <w:sz w:val="32"/>
          <w:szCs w:val="32"/>
        </w:rPr>
        <w:t>部门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预算</w:t>
      </w:r>
      <w:r>
        <w:rPr>
          <w:rFonts w:hint="eastAsia" w:ascii="仿宋_GB2312" w:hAnsi="Times New Roman" w:eastAsia="仿宋_GB2312" w:cs="仿宋_GB2312"/>
          <w:spacing w:val="2"/>
          <w:kern w:val="0"/>
          <w:sz w:val="32"/>
          <w:szCs w:val="32"/>
        </w:rPr>
        <w:t>包括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eastAsia="zh-CN"/>
        </w:rPr>
        <w:t>局</w:t>
      </w:r>
      <w:r>
        <w:rPr>
          <w:rFonts w:hint="eastAsia" w:ascii="仿宋_GB2312" w:hAnsi="Times New Roman" w:eastAsia="仿宋_GB2312" w:cs="仿宋_GB2312"/>
          <w:spacing w:val="2"/>
          <w:kern w:val="0"/>
          <w:sz w:val="32"/>
          <w:szCs w:val="32"/>
        </w:rPr>
        <w:t>机关本级</w:t>
      </w:r>
      <w:r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</w:rPr>
        <w:t>预算</w:t>
      </w:r>
      <w:r>
        <w:rPr>
          <w:rFonts w:hint="eastAsia" w:ascii="仿宋_GB2312" w:hAnsi="Times New Roman" w:eastAsia="仿宋_GB2312" w:cs="仿宋_GB2312"/>
          <w:spacing w:val="2"/>
          <w:kern w:val="0"/>
          <w:sz w:val="32"/>
          <w:szCs w:val="32"/>
        </w:rPr>
        <w:t>和</w:t>
      </w:r>
      <w:r>
        <w:rPr>
          <w:rFonts w:hint="eastAsia" w:ascii="仿宋_GB2312" w:hAnsi="Times New Roman" w:eastAsia="仿宋_GB2312" w:cs="仿宋_GB2312"/>
          <w:spacing w:val="2"/>
          <w:kern w:val="0"/>
          <w:sz w:val="32"/>
          <w:szCs w:val="32"/>
          <w:lang w:eastAsia="zh-CN"/>
        </w:rPr>
        <w:t>局</w:t>
      </w:r>
      <w:r>
        <w:rPr>
          <w:rFonts w:hint="eastAsia" w:ascii="仿宋_GB2312" w:hAnsi="Times New Roman" w:eastAsia="仿宋_GB2312" w:cs="仿宋_GB2312"/>
          <w:spacing w:val="2"/>
          <w:kern w:val="0"/>
          <w:sz w:val="32"/>
          <w:szCs w:val="32"/>
        </w:rPr>
        <w:t>属</w:t>
      </w:r>
      <w:r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</w:rPr>
        <w:t>单位预算。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36" w:firstLineChars="200"/>
        <w:jc w:val="left"/>
        <w:textAlignment w:val="auto"/>
        <w:rPr>
          <w:rFonts w:ascii="仿宋_GB2312" w:hAnsi="Times New Roman" w:eastAsia="仿宋_GB2312" w:cs="仿宋_GB2312"/>
          <w:kern w:val="0"/>
          <w:sz w:val="32"/>
          <w:szCs w:val="32"/>
        </w:rPr>
      </w:pPr>
      <w:r>
        <w:rPr>
          <w:rFonts w:ascii="仿宋_GB2312" w:hAnsi="Times New Roman" w:eastAsia="仿宋_GB2312" w:cs="仿宋_GB2312"/>
          <w:spacing w:val="-1"/>
          <w:kern w:val="0"/>
          <w:sz w:val="32"/>
          <w:szCs w:val="32"/>
        </w:rPr>
        <w:t>1</w:t>
      </w:r>
      <w:r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</w:rPr>
        <w:t>.</w:t>
      </w:r>
      <w:r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  <w:lang w:eastAsia="zh-CN"/>
        </w:rPr>
        <w:t>驻马店市招商投资促进局</w:t>
      </w:r>
      <w:r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</w:rPr>
        <w:t>本级；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36" w:firstLineChars="200"/>
        <w:jc w:val="left"/>
        <w:textAlignment w:val="auto"/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</w:rPr>
        <w:t>.</w:t>
      </w:r>
      <w:r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  <w:lang w:eastAsia="zh-CN"/>
        </w:rPr>
        <w:t>驻马店市人民政府外商投诉服务中心</w:t>
      </w:r>
      <w:r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36" w:firstLineChars="200"/>
        <w:jc w:val="left"/>
        <w:textAlignment w:val="auto"/>
        <w:rPr>
          <w:rFonts w:hint="eastAsia" w:ascii="黑体" w:hAnsi="Times New Roman" w:eastAsia="仿宋_GB2312" w:cs="黑体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</w:rPr>
        <w:t>.</w:t>
      </w:r>
      <w:r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  <w:lang w:eastAsia="zh-CN"/>
        </w:rPr>
        <w:t>驻马店市招商引资信息服务中心；</w:t>
      </w:r>
    </w:p>
    <w:p>
      <w:pPr>
        <w:widowControl/>
        <w:spacing w:line="600" w:lineRule="exact"/>
        <w:ind w:firstLine="640" w:firstLineChars="200"/>
        <w:rPr>
          <w:rFonts w:hint="eastAsia" w:ascii="华文仿宋" w:hAnsi="华文仿宋" w:eastAsia="华文仿宋" w:cs="Times New Roman"/>
          <w:kern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Times New Roman"/>
          <w:kern w:val="0"/>
          <w:sz w:val="32"/>
          <w:szCs w:val="32"/>
          <w:lang w:val="en-US" w:eastAsia="zh-CN"/>
        </w:rPr>
        <w:t>4.驻马店市人民政府驻上海联络中心；</w:t>
      </w:r>
    </w:p>
    <w:p>
      <w:pPr>
        <w:widowControl/>
        <w:spacing w:line="600" w:lineRule="exact"/>
        <w:ind w:firstLine="640" w:firstLineChars="200"/>
        <w:rPr>
          <w:rFonts w:hint="default" w:ascii="华文仿宋" w:hAnsi="华文仿宋" w:eastAsia="华文仿宋" w:cs="Times New Roman"/>
          <w:kern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Times New Roman"/>
          <w:kern w:val="0"/>
          <w:sz w:val="32"/>
          <w:szCs w:val="32"/>
          <w:lang w:val="en-US" w:eastAsia="zh-CN"/>
        </w:rPr>
        <w:t>5.驻马店市人民政府驻深圳联络中心。</w:t>
      </w: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both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第二部分</w:t>
      </w:r>
      <w:r>
        <w:rPr>
          <w:rFonts w:ascii="黑体" w:hAnsi="黑体" w:eastAsia="黑体" w:cs="黑体"/>
          <w:kern w:val="0"/>
          <w:sz w:val="36"/>
          <w:szCs w:val="36"/>
        </w:rPr>
        <w:t xml:space="preserve"> </w:t>
      </w: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ascii="黑体" w:hAnsi="黑体" w:eastAsia="黑体" w:cs="黑体"/>
          <w:kern w:val="0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kern w:val="0"/>
          <w:sz w:val="36"/>
          <w:szCs w:val="36"/>
        </w:rPr>
        <w:t>驻马店市</w:t>
      </w:r>
      <w:r>
        <w:rPr>
          <w:rFonts w:hint="eastAsia" w:ascii="黑体" w:hAnsi="黑体" w:eastAsia="黑体" w:cs="黑体"/>
          <w:kern w:val="0"/>
          <w:sz w:val="36"/>
          <w:szCs w:val="36"/>
          <w:lang w:eastAsia="zh-CN"/>
        </w:rPr>
        <w:t>招商投资促进局</w:t>
      </w:r>
      <w:r>
        <w:rPr>
          <w:rFonts w:ascii="黑体" w:hAnsi="黑体" w:eastAsia="黑体" w:cs="黑体"/>
          <w:kern w:val="0"/>
          <w:sz w:val="36"/>
          <w:szCs w:val="36"/>
        </w:rPr>
        <w:t>20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 w:cs="黑体"/>
          <w:kern w:val="0"/>
          <w:sz w:val="36"/>
          <w:szCs w:val="36"/>
        </w:rPr>
        <w:t>年度部门预算情况说明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华文仿宋" w:hAnsi="华文仿宋" w:eastAsia="仿宋" w:cs="Times New Roman"/>
          <w:sz w:val="32"/>
          <w:szCs w:val="32"/>
        </w:rPr>
        <w:t> </w:t>
      </w:r>
      <w:r>
        <w:rPr>
          <w:rFonts w:hint="eastAsia" w:ascii="仿宋" w:hAnsi="仿宋" w:eastAsia="仿宋" w:cs="仿宋_GB2312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招商投资促进局</w:t>
      </w:r>
      <w:r>
        <w:rPr>
          <w:rFonts w:ascii="仿宋" w:hAnsi="仿宋" w:eastAsia="仿宋" w:cs="仿宋_GB2312"/>
          <w:color w:val="000000"/>
          <w:sz w:val="32"/>
          <w:szCs w:val="32"/>
        </w:rPr>
        <w:t>202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年收入总计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519.3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万元，支出总计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519.3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万元，与</w:t>
      </w:r>
      <w:r>
        <w:rPr>
          <w:rFonts w:ascii="仿宋" w:hAnsi="仿宋" w:eastAsia="仿宋" w:cs="仿宋_GB2312"/>
          <w:color w:val="000000"/>
          <w:sz w:val="32"/>
          <w:szCs w:val="32"/>
        </w:rPr>
        <w:t>20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年预算相比，收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入减少67.4万元，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支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出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减少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67.4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万元，下降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11.49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。主要原因是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支出项目减少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驻马店市</w:t>
      </w:r>
      <w:r>
        <w:rPr>
          <w:rFonts w:hint="eastAsia" w:ascii="仿宋" w:hAnsi="仿宋" w:eastAsia="仿宋"/>
          <w:sz w:val="32"/>
          <w:szCs w:val="32"/>
          <w:lang w:eastAsia="zh-CN"/>
        </w:rPr>
        <w:t>招商投资促进局</w:t>
      </w:r>
      <w:r>
        <w:rPr>
          <w:rFonts w:eastAsia="仿宋"/>
          <w:sz w:val="32"/>
          <w:szCs w:val="32"/>
        </w:rPr>
        <w:t>  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年收入合计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519.3</w:t>
      </w:r>
      <w:r>
        <w:rPr>
          <w:rFonts w:hint="eastAsia" w:ascii="仿宋" w:hAnsi="仿宋" w:eastAsia="仿宋"/>
          <w:sz w:val="32"/>
          <w:szCs w:val="32"/>
        </w:rPr>
        <w:t>万元。其中：一般公共预算收入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519.3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驻马店市</w:t>
      </w:r>
      <w:r>
        <w:rPr>
          <w:rFonts w:hint="eastAsia" w:ascii="仿宋" w:hAnsi="仿宋" w:eastAsia="仿宋"/>
          <w:sz w:val="32"/>
          <w:szCs w:val="32"/>
          <w:lang w:eastAsia="zh-CN"/>
        </w:rPr>
        <w:t>招商投资促进局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年支出合计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519.3</w:t>
      </w:r>
      <w:r>
        <w:rPr>
          <w:rFonts w:hint="eastAsia" w:ascii="仿宋" w:hAnsi="仿宋" w:eastAsia="仿宋"/>
          <w:sz w:val="32"/>
          <w:szCs w:val="32"/>
        </w:rPr>
        <w:t>万元，其中：基本支出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479.3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92.3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；项目支出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40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7.7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招商投资促进局</w:t>
      </w:r>
      <w:r>
        <w:rPr>
          <w:rFonts w:ascii="仿宋" w:hAnsi="仿宋" w:eastAsia="仿宋" w:cs="仿宋_GB2312"/>
          <w:sz w:val="32"/>
          <w:szCs w:val="32"/>
        </w:rPr>
        <w:t>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年一般公共预算收支预算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519.3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万元。</w:t>
      </w:r>
      <w:r>
        <w:rPr>
          <w:rFonts w:hint="eastAsia" w:ascii="仿宋" w:hAnsi="仿宋" w:eastAsia="仿宋"/>
          <w:sz w:val="32"/>
          <w:szCs w:val="32"/>
        </w:rPr>
        <w:t>与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年相比，一般公共预算收支预算减少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67.4</w:t>
      </w:r>
      <w:r>
        <w:rPr>
          <w:rFonts w:hint="eastAsia" w:ascii="仿宋" w:hAnsi="仿宋" w:eastAsia="仿宋"/>
          <w:sz w:val="32"/>
          <w:szCs w:val="32"/>
        </w:rPr>
        <w:t>万元，下降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11.49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。主要原因是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支出项目减少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color w:val="333333"/>
          <w:sz w:val="32"/>
          <w:szCs w:val="32"/>
          <w:lang w:eastAsia="zh-CN"/>
        </w:rPr>
        <w:t>招商投资促进局</w:t>
      </w:r>
      <w:r>
        <w:rPr>
          <w:rFonts w:ascii="仿宋" w:hAnsi="仿宋" w:eastAsia="仿宋" w:cs="仿宋_GB2312"/>
          <w:color w:val="333333"/>
          <w:sz w:val="32"/>
          <w:szCs w:val="32"/>
        </w:rPr>
        <w:t>202</w:t>
      </w:r>
      <w:r>
        <w:rPr>
          <w:rFonts w:hint="eastAsia" w:ascii="仿宋" w:hAnsi="仿宋" w:eastAsia="仿宋" w:cs="仿宋_GB2312"/>
          <w:color w:val="333333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年一般公共预算支出年初预算为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519.3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万元。主要用于以下方面：一般公共服务（类）支出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429.46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82.7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；社会保障和就业支出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43.85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8.44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；卫生健康支出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22.43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4.32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；住房保障支出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23.56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4.54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六、一般公共预算基本支出预算情况说明和支出预算经济分类情况说明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eastAsia="仿宋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年一般公共预算基本支出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519.3</w:t>
      </w:r>
      <w:r>
        <w:rPr>
          <w:rFonts w:hint="eastAsia" w:ascii="仿宋" w:hAnsi="仿宋" w:eastAsia="仿宋"/>
          <w:sz w:val="32"/>
          <w:szCs w:val="32"/>
        </w:rPr>
        <w:t>万元，其中：人员经费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433.88</w:t>
      </w:r>
      <w:r>
        <w:rPr>
          <w:rFonts w:hint="eastAsia" w:ascii="仿宋" w:hAnsi="仿宋" w:eastAsia="仿宋"/>
          <w:sz w:val="32"/>
          <w:szCs w:val="32"/>
        </w:rPr>
        <w:t>万元，主要包括：基本工资、津贴补贴、奖金、其他社会保障缴费、伙食补助费、绩效工资、机关事业单位基本养老保险缴费、职业年金缴费、其他工资福利支出、离休费、退休费、退职（役）费、抚恤金、生活补助、医疗费、助学金、奖励金、生产补贴、住房公积金、提租补贴、购房补贴、采暖补贴、物业服务补贴、其他对个人和家庭的补助支出；公用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45.43</w:t>
      </w:r>
      <w:r>
        <w:rPr>
          <w:rFonts w:hint="eastAsia" w:ascii="仿宋" w:hAnsi="仿宋" w:eastAsia="仿宋"/>
          <w:sz w:val="32"/>
          <w:szCs w:val="32"/>
        </w:rPr>
        <w:t>万元，主要包括：办公费、印刷费、咨询费、手续费、水费、电费、邮电费、取暖费、物业管理费、差旅费、因公出国（境）费、维修（护）费、租赁费、会议费、培训费、公务接待费、专用材料费、被装购置费、专用燃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部门《支出经济分类汇总表》由上年仅反映一般公共预算基本支出经济分类科目预算，调整为按两套经济分类科目分别反映不同资金来源的全部预算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七、政府性基金预算支出</w:t>
      </w:r>
      <w:r>
        <w:rPr>
          <w:rFonts w:hint="eastAsia" w:ascii="黑体" w:hAnsi="黑体" w:eastAsia="黑体"/>
          <w:sz w:val="32"/>
          <w:szCs w:val="32"/>
          <w:lang w:eastAsia="zh-CN"/>
        </w:rPr>
        <w:t>预</w:t>
      </w:r>
      <w:r>
        <w:rPr>
          <w:rFonts w:hint="eastAsia" w:ascii="黑体" w:hAnsi="黑体" w:eastAsia="黑体"/>
          <w:sz w:val="32"/>
          <w:szCs w:val="32"/>
        </w:rPr>
        <w:t>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我局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年无使用政府性基金预算拨款安排的支出。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我局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年“三公”经费预算为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万元。202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年“三公”经费支出预算数比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020</w:t>
      </w:r>
      <w:r>
        <w:rPr>
          <w:rFonts w:hint="eastAsia" w:ascii="仿宋" w:hAnsi="仿宋" w:eastAsia="仿宋"/>
          <w:sz w:val="32"/>
          <w:szCs w:val="32"/>
        </w:rPr>
        <w:t>年减少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28.29</w:t>
      </w:r>
      <w:r>
        <w:rPr>
          <w:rFonts w:hint="eastAsia" w:ascii="仿宋" w:hAnsi="仿宋" w:eastAsia="仿宋"/>
          <w:sz w:val="32"/>
          <w:szCs w:val="32"/>
        </w:rPr>
        <w:t>万元，下降了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77.96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 xml:space="preserve">。    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具体支出情况如下：</w:t>
      </w:r>
    </w:p>
    <w:p>
      <w:pPr>
        <w:numPr>
          <w:ilvl w:val="0"/>
          <w:numId w:val="1"/>
        </w:numPr>
        <w:spacing w:line="600" w:lineRule="exact"/>
        <w:ind w:left="-13" w:leftChars="0" w:firstLine="643"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因公出国</w:t>
      </w:r>
      <w:r>
        <w:rPr>
          <w:rFonts w:ascii="仿宋" w:hAnsi="仿宋" w:eastAsia="仿宋"/>
          <w:b/>
          <w:sz w:val="32"/>
          <w:szCs w:val="32"/>
        </w:rPr>
        <w:t>(</w:t>
      </w:r>
      <w:r>
        <w:rPr>
          <w:rFonts w:hint="eastAsia" w:ascii="仿宋" w:hAnsi="仿宋" w:eastAsia="仿宋"/>
          <w:b/>
          <w:sz w:val="32"/>
          <w:szCs w:val="32"/>
        </w:rPr>
        <w:t>境</w:t>
      </w:r>
      <w:r>
        <w:rPr>
          <w:rFonts w:ascii="仿宋" w:hAnsi="仿宋" w:eastAsia="仿宋"/>
          <w:b/>
          <w:sz w:val="32"/>
          <w:szCs w:val="32"/>
        </w:rPr>
        <w:t>)</w:t>
      </w:r>
      <w:r>
        <w:rPr>
          <w:rFonts w:hint="eastAsia" w:ascii="仿宋" w:hAnsi="仿宋" w:eastAsia="仿宋"/>
          <w:b/>
          <w:sz w:val="32"/>
          <w:szCs w:val="32"/>
        </w:rPr>
        <w:t>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b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</w:rPr>
        <w:t>主要用于单位工作人员公务出国（境）的住宿费、旅费、伙食补助费、杂费、培训费等支出。我局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年没有安排因公出国（境）费用的收入和支出预算。预算数与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年持平。</w:t>
      </w:r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（二）公务用车购置及运行费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b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</w:rPr>
        <w:t>，主要用于开展工作所需公务用车的燃料费、维修费、过路过桥费、保险费、安全奖励费用等支出。</w:t>
      </w:r>
      <w:r>
        <w:rPr>
          <w:rFonts w:hint="eastAsia" w:ascii="仿宋" w:hAnsi="仿宋" w:eastAsia="仿宋"/>
          <w:sz w:val="32"/>
          <w:szCs w:val="32"/>
          <w:lang w:eastAsia="zh-CN"/>
        </w:rPr>
        <w:t>其中</w:t>
      </w:r>
      <w:r>
        <w:rPr>
          <w:rFonts w:hint="eastAsia" w:ascii="仿宋" w:hAnsi="仿宋" w:eastAsia="仿宋"/>
          <w:sz w:val="32"/>
          <w:szCs w:val="32"/>
        </w:rPr>
        <w:t>公务用车购置费预算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0万元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2020年减少28万元，主要原因是我局没有购置新车计划。</w:t>
      </w:r>
      <w:r>
        <w:rPr>
          <w:rFonts w:hint="eastAsia" w:ascii="仿宋" w:hAnsi="仿宋" w:eastAsia="仿宋"/>
          <w:sz w:val="32"/>
          <w:szCs w:val="32"/>
        </w:rPr>
        <w:t>公务用车运行维护费预算</w:t>
      </w:r>
      <w:r>
        <w:rPr>
          <w:rFonts w:hint="eastAsia" w:ascii="仿宋" w:hAnsi="仿宋" w:eastAsia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6万元，</w:t>
      </w:r>
      <w:r>
        <w:rPr>
          <w:rFonts w:hint="eastAsia" w:ascii="仿宋" w:hAnsi="仿宋" w:eastAsia="仿宋"/>
          <w:sz w:val="32"/>
          <w:szCs w:val="32"/>
        </w:rPr>
        <w:t>比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增加5.2</w:t>
      </w:r>
      <w:r>
        <w:rPr>
          <w:rFonts w:hint="eastAsia" w:ascii="仿宋" w:hAnsi="仿宋" w:eastAsia="仿宋"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增长</w:t>
      </w:r>
      <w:r>
        <w:rPr>
          <w:rFonts w:hint="eastAsia" w:ascii="仿宋" w:hAnsi="仿宋" w:eastAsia="仿宋"/>
          <w:sz w:val="32"/>
          <w:szCs w:val="32"/>
        </w:rPr>
        <w:t>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650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，主要原因是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我局主要负责</w:t>
      </w: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  <w:t>全市招商引资工作，接待重要客商比较频繁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（三）公务接待费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</w:rPr>
        <w:t>主要用于按规定开支的各类公务接待支出。预算数比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年减少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5.49</w:t>
      </w:r>
      <w:r>
        <w:rPr>
          <w:rFonts w:hint="eastAsia" w:ascii="仿宋" w:hAnsi="仿宋" w:eastAsia="仿宋"/>
          <w:sz w:val="32"/>
          <w:szCs w:val="32"/>
        </w:rPr>
        <w:t>万元，下降了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73.3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 w:cs="仿宋_GB2312"/>
          <w:sz w:val="32"/>
          <w:szCs w:val="32"/>
        </w:rPr>
        <w:t>主要原因是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节约开支，压缩运行成本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九、其他重要事项的情况说明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（一）机关运行经费支出情况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驻马店市</w:t>
      </w:r>
      <w:r>
        <w:rPr>
          <w:rFonts w:hint="eastAsia" w:ascii="仿宋" w:hAnsi="仿宋" w:eastAsia="仿宋"/>
          <w:sz w:val="32"/>
          <w:szCs w:val="32"/>
          <w:lang w:eastAsia="zh-CN"/>
        </w:rPr>
        <w:t>招商投资促进局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年机关运行经费支出预算为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45.43</w:t>
      </w:r>
      <w:r>
        <w:rPr>
          <w:rFonts w:hint="eastAsia" w:ascii="仿宋" w:hAnsi="仿宋" w:eastAsia="仿宋"/>
          <w:sz w:val="32"/>
          <w:szCs w:val="32"/>
        </w:rPr>
        <w:t>万元，主要保障机构正常运转及政策履职需要。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（二）政府采购支出情况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年政府采购预算安排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22.7</w:t>
      </w:r>
      <w:r>
        <w:rPr>
          <w:rFonts w:hint="eastAsia" w:ascii="仿宋" w:hAnsi="仿宋" w:eastAsia="仿宋"/>
          <w:sz w:val="32"/>
          <w:szCs w:val="32"/>
        </w:rPr>
        <w:t>万元，其中：政府采购货物预算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22.7</w:t>
      </w:r>
      <w:r>
        <w:rPr>
          <w:rFonts w:hint="eastAsia" w:ascii="仿宋" w:hAnsi="仿宋" w:eastAsia="仿宋"/>
          <w:sz w:val="32"/>
          <w:szCs w:val="32"/>
        </w:rPr>
        <w:t>万元，政府采购服务预算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（三）绩效目标设置情况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我局202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年预算项目均按要求编制了绩效目标，从项目产出、项目效益、满意度等方面设置了绩效指标，综合反映项目预期完成的数量、实效、质量、预期达到的社会经济效益、可持续影响以及服务对象满意度等情况。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（四）国有资产占用情况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年期末，我局共有车辆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辆，其中：一般公务用车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辆、一般执法执勤用车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辆、其他用车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辆，其他用车主要是机要通信用车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辆、应急车辆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辆、老干部用车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辆；单价</w:t>
      </w:r>
      <w:r>
        <w:rPr>
          <w:rFonts w:ascii="仿宋" w:hAnsi="仿宋" w:eastAsia="仿宋"/>
          <w:sz w:val="32"/>
          <w:szCs w:val="32"/>
        </w:rPr>
        <w:t>50</w:t>
      </w:r>
      <w:r>
        <w:rPr>
          <w:rFonts w:hint="eastAsia" w:ascii="仿宋" w:hAnsi="仿宋" w:eastAsia="仿宋"/>
          <w:sz w:val="32"/>
          <w:szCs w:val="32"/>
        </w:rPr>
        <w:t>万元以上通用设备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套，单位价值</w:t>
      </w:r>
      <w:r>
        <w:rPr>
          <w:rFonts w:ascii="仿宋" w:hAnsi="仿宋" w:eastAsia="仿宋"/>
          <w:sz w:val="32"/>
          <w:szCs w:val="32"/>
        </w:rPr>
        <w:t>100</w:t>
      </w:r>
      <w:r>
        <w:rPr>
          <w:rFonts w:hint="eastAsia" w:ascii="仿宋" w:hAnsi="仿宋" w:eastAsia="仿宋"/>
          <w:sz w:val="32"/>
          <w:szCs w:val="32"/>
        </w:rPr>
        <w:t>万元以上专用设备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套。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（五）专项转移支付项目情况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我局</w:t>
      </w:r>
      <w:r>
        <w:rPr>
          <w:rFonts w:hint="eastAsia" w:ascii="仿宋" w:hAnsi="仿宋" w:eastAsia="仿宋"/>
          <w:sz w:val="32"/>
          <w:szCs w:val="32"/>
          <w:lang w:eastAsia="zh-CN"/>
        </w:rPr>
        <w:t>无</w:t>
      </w:r>
      <w:r>
        <w:rPr>
          <w:rFonts w:hint="eastAsia" w:ascii="仿宋" w:hAnsi="仿宋" w:eastAsia="仿宋"/>
          <w:sz w:val="32"/>
          <w:szCs w:val="32"/>
        </w:rPr>
        <w:t>负责参与管理的专项转移支付项目。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both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第三部分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名词解释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一、财政拨款收入：是指市级财政当年拨付的资金。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二、事业收入:是指事业单位开展专业活动及辅助活动所取得的收入。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三、其他收入：是指部门取得的除“财政拨款”、“事业收入”、“事业单位经营收入”等以外的收入。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，用于弥补以后年度收支差额的基金）弥补当年收支缺口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七、“三公”经费：是指纳入市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adjustRightInd w:val="0"/>
        <w:snapToGrid w:val="0"/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adjustRightInd w:val="0"/>
        <w:snapToGrid w:val="0"/>
        <w:spacing w:line="60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驻马店市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招商投资促进局</w:t>
      </w:r>
      <w:r>
        <w:rPr>
          <w:rFonts w:ascii="黑体" w:hAnsi="黑体" w:eastAsia="黑体" w:cs="黑体"/>
          <w:sz w:val="32"/>
          <w:szCs w:val="32"/>
        </w:rPr>
        <w:t>20</w:t>
      </w:r>
      <w:r>
        <w:rPr>
          <w:rFonts w:hint="eastAsia" w:ascii="黑体" w:hAnsi="黑体" w:eastAsia="黑体" w:cs="黑体"/>
          <w:sz w:val="32"/>
          <w:szCs w:val="32"/>
        </w:rPr>
        <w:t>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年度部门预算表</w:t>
      </w:r>
    </w:p>
    <w:p>
      <w:pPr>
        <w:spacing w:line="600" w:lineRule="exact"/>
      </w:pP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3F54E0"/>
    <w:multiLevelType w:val="singleLevel"/>
    <w:tmpl w:val="113F54E0"/>
    <w:lvl w:ilvl="0" w:tentative="0">
      <w:start w:val="1"/>
      <w:numFmt w:val="chineseCounting"/>
      <w:suff w:val="nothing"/>
      <w:lvlText w:val="（%1）"/>
      <w:lvlJc w:val="left"/>
      <w:pPr>
        <w:ind w:left="-1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kZTJlMTQ2YThmZWRjNTgwMTUyYWUzYTE4OTdlYzcifQ=="/>
  </w:docVars>
  <w:rsids>
    <w:rsidRoot w:val="00DB6E0A"/>
    <w:rsid w:val="00024F6B"/>
    <w:rsid w:val="00046304"/>
    <w:rsid w:val="00081A39"/>
    <w:rsid w:val="00082E97"/>
    <w:rsid w:val="00092293"/>
    <w:rsid w:val="000A57D3"/>
    <w:rsid w:val="000A793C"/>
    <w:rsid w:val="000B2C71"/>
    <w:rsid w:val="000D2EF0"/>
    <w:rsid w:val="000E1E98"/>
    <w:rsid w:val="000F00F0"/>
    <w:rsid w:val="000F07CF"/>
    <w:rsid w:val="00103B01"/>
    <w:rsid w:val="00130D39"/>
    <w:rsid w:val="00132510"/>
    <w:rsid w:val="00135319"/>
    <w:rsid w:val="00157DC9"/>
    <w:rsid w:val="00164490"/>
    <w:rsid w:val="0016485B"/>
    <w:rsid w:val="00174BB7"/>
    <w:rsid w:val="00197F39"/>
    <w:rsid w:val="001D3474"/>
    <w:rsid w:val="001F0097"/>
    <w:rsid w:val="001F0DC7"/>
    <w:rsid w:val="001F3EA8"/>
    <w:rsid w:val="00267A52"/>
    <w:rsid w:val="00277F07"/>
    <w:rsid w:val="00281F39"/>
    <w:rsid w:val="00282C62"/>
    <w:rsid w:val="002A5C59"/>
    <w:rsid w:val="002C63F2"/>
    <w:rsid w:val="00313C25"/>
    <w:rsid w:val="00321C62"/>
    <w:rsid w:val="00322205"/>
    <w:rsid w:val="00357CD3"/>
    <w:rsid w:val="0036405E"/>
    <w:rsid w:val="00380842"/>
    <w:rsid w:val="00394026"/>
    <w:rsid w:val="003B307C"/>
    <w:rsid w:val="003D2251"/>
    <w:rsid w:val="003D4DA1"/>
    <w:rsid w:val="003F281A"/>
    <w:rsid w:val="003F6FA5"/>
    <w:rsid w:val="00402A63"/>
    <w:rsid w:val="004059A2"/>
    <w:rsid w:val="00413874"/>
    <w:rsid w:val="0041494C"/>
    <w:rsid w:val="00425830"/>
    <w:rsid w:val="004402A9"/>
    <w:rsid w:val="00440E08"/>
    <w:rsid w:val="0044221E"/>
    <w:rsid w:val="00445854"/>
    <w:rsid w:val="004523F4"/>
    <w:rsid w:val="00475A3F"/>
    <w:rsid w:val="00485E69"/>
    <w:rsid w:val="00486CF5"/>
    <w:rsid w:val="00495029"/>
    <w:rsid w:val="004B1C7F"/>
    <w:rsid w:val="004B2AB1"/>
    <w:rsid w:val="004B5AC1"/>
    <w:rsid w:val="004D3E72"/>
    <w:rsid w:val="00517F70"/>
    <w:rsid w:val="00520079"/>
    <w:rsid w:val="00520C68"/>
    <w:rsid w:val="005458CE"/>
    <w:rsid w:val="00547FA8"/>
    <w:rsid w:val="005653F6"/>
    <w:rsid w:val="00574E19"/>
    <w:rsid w:val="00593ACE"/>
    <w:rsid w:val="00594B0A"/>
    <w:rsid w:val="005A7D02"/>
    <w:rsid w:val="005C73B8"/>
    <w:rsid w:val="00624C7A"/>
    <w:rsid w:val="00655743"/>
    <w:rsid w:val="00660C03"/>
    <w:rsid w:val="00676BA6"/>
    <w:rsid w:val="00691D56"/>
    <w:rsid w:val="00697E78"/>
    <w:rsid w:val="006A220B"/>
    <w:rsid w:val="006B3606"/>
    <w:rsid w:val="006B3FE3"/>
    <w:rsid w:val="00700239"/>
    <w:rsid w:val="00700B9A"/>
    <w:rsid w:val="007136D4"/>
    <w:rsid w:val="00737C3B"/>
    <w:rsid w:val="00755247"/>
    <w:rsid w:val="0076118A"/>
    <w:rsid w:val="00791B9D"/>
    <w:rsid w:val="007922C8"/>
    <w:rsid w:val="007A040A"/>
    <w:rsid w:val="007B4386"/>
    <w:rsid w:val="007D4A49"/>
    <w:rsid w:val="007D7A4A"/>
    <w:rsid w:val="007E0369"/>
    <w:rsid w:val="007E6EE0"/>
    <w:rsid w:val="00804982"/>
    <w:rsid w:val="0086203B"/>
    <w:rsid w:val="0087679C"/>
    <w:rsid w:val="008803FE"/>
    <w:rsid w:val="00882505"/>
    <w:rsid w:val="008A14DB"/>
    <w:rsid w:val="008A2A42"/>
    <w:rsid w:val="008B58F3"/>
    <w:rsid w:val="008B63CD"/>
    <w:rsid w:val="008C6D08"/>
    <w:rsid w:val="008D1B9C"/>
    <w:rsid w:val="008D5A65"/>
    <w:rsid w:val="008F0447"/>
    <w:rsid w:val="008F3BA6"/>
    <w:rsid w:val="00912829"/>
    <w:rsid w:val="00914D64"/>
    <w:rsid w:val="00926A33"/>
    <w:rsid w:val="009507BF"/>
    <w:rsid w:val="009574C3"/>
    <w:rsid w:val="00965F4F"/>
    <w:rsid w:val="00987F87"/>
    <w:rsid w:val="0099182F"/>
    <w:rsid w:val="009B17AE"/>
    <w:rsid w:val="009B1DCD"/>
    <w:rsid w:val="00A0087B"/>
    <w:rsid w:val="00A0547F"/>
    <w:rsid w:val="00A111CB"/>
    <w:rsid w:val="00A51477"/>
    <w:rsid w:val="00A6587F"/>
    <w:rsid w:val="00A75D9C"/>
    <w:rsid w:val="00A83E1B"/>
    <w:rsid w:val="00AA09FD"/>
    <w:rsid w:val="00AB26EC"/>
    <w:rsid w:val="00AE18EF"/>
    <w:rsid w:val="00B02CDE"/>
    <w:rsid w:val="00B16384"/>
    <w:rsid w:val="00B32090"/>
    <w:rsid w:val="00B35C03"/>
    <w:rsid w:val="00B60387"/>
    <w:rsid w:val="00B62A35"/>
    <w:rsid w:val="00B71283"/>
    <w:rsid w:val="00B8118B"/>
    <w:rsid w:val="00BB32E4"/>
    <w:rsid w:val="00BB5328"/>
    <w:rsid w:val="00BC25A8"/>
    <w:rsid w:val="00BC482D"/>
    <w:rsid w:val="00BF3E2E"/>
    <w:rsid w:val="00C05FD2"/>
    <w:rsid w:val="00C1216D"/>
    <w:rsid w:val="00C16BCC"/>
    <w:rsid w:val="00C24430"/>
    <w:rsid w:val="00C32353"/>
    <w:rsid w:val="00C324EE"/>
    <w:rsid w:val="00C46EC8"/>
    <w:rsid w:val="00C547E8"/>
    <w:rsid w:val="00C555BA"/>
    <w:rsid w:val="00C822B5"/>
    <w:rsid w:val="00C84D92"/>
    <w:rsid w:val="00C961DC"/>
    <w:rsid w:val="00C97DB5"/>
    <w:rsid w:val="00CB5205"/>
    <w:rsid w:val="00CC09A9"/>
    <w:rsid w:val="00CF06D4"/>
    <w:rsid w:val="00D06F40"/>
    <w:rsid w:val="00D1533C"/>
    <w:rsid w:val="00D1724E"/>
    <w:rsid w:val="00D263AD"/>
    <w:rsid w:val="00D32AF5"/>
    <w:rsid w:val="00D43271"/>
    <w:rsid w:val="00D66752"/>
    <w:rsid w:val="00DB6E0A"/>
    <w:rsid w:val="00DC2B51"/>
    <w:rsid w:val="00DD2FFD"/>
    <w:rsid w:val="00DD6237"/>
    <w:rsid w:val="00DD6651"/>
    <w:rsid w:val="00E16978"/>
    <w:rsid w:val="00E247EF"/>
    <w:rsid w:val="00E42482"/>
    <w:rsid w:val="00E42FC7"/>
    <w:rsid w:val="00E504A7"/>
    <w:rsid w:val="00E66C96"/>
    <w:rsid w:val="00E90CF6"/>
    <w:rsid w:val="00E95E4C"/>
    <w:rsid w:val="00E962BF"/>
    <w:rsid w:val="00EB1647"/>
    <w:rsid w:val="00ED0313"/>
    <w:rsid w:val="00EF00AC"/>
    <w:rsid w:val="00EF0A3A"/>
    <w:rsid w:val="00F26566"/>
    <w:rsid w:val="00F31989"/>
    <w:rsid w:val="00F3215C"/>
    <w:rsid w:val="00F32AF3"/>
    <w:rsid w:val="00F33AA2"/>
    <w:rsid w:val="00F372DE"/>
    <w:rsid w:val="00F43772"/>
    <w:rsid w:val="00F47160"/>
    <w:rsid w:val="00F471FF"/>
    <w:rsid w:val="00F71085"/>
    <w:rsid w:val="00F82CBC"/>
    <w:rsid w:val="00F846C0"/>
    <w:rsid w:val="00F87D66"/>
    <w:rsid w:val="00FA0F9B"/>
    <w:rsid w:val="00FA6BF0"/>
    <w:rsid w:val="00FB172E"/>
    <w:rsid w:val="00FB5612"/>
    <w:rsid w:val="00FC0622"/>
    <w:rsid w:val="00FC6DFC"/>
    <w:rsid w:val="00FD4CB7"/>
    <w:rsid w:val="08D663C1"/>
    <w:rsid w:val="10605235"/>
    <w:rsid w:val="1D8126ED"/>
    <w:rsid w:val="1EFB577C"/>
    <w:rsid w:val="2DF22F25"/>
    <w:rsid w:val="34787E99"/>
    <w:rsid w:val="34C436C2"/>
    <w:rsid w:val="36916814"/>
    <w:rsid w:val="3B0F257C"/>
    <w:rsid w:val="3F562BA8"/>
    <w:rsid w:val="41362099"/>
    <w:rsid w:val="502D4C9E"/>
    <w:rsid w:val="526E59EA"/>
    <w:rsid w:val="54A039F3"/>
    <w:rsid w:val="5EA42884"/>
    <w:rsid w:val="61C71409"/>
    <w:rsid w:val="64086733"/>
    <w:rsid w:val="67242BCD"/>
    <w:rsid w:val="6CA10167"/>
    <w:rsid w:val="6E59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7"/>
    <w:link w:val="2"/>
    <w:semiHidden/>
    <w:qFormat/>
    <w:locked/>
    <w:uiPriority w:val="99"/>
    <w:rPr>
      <w:sz w:val="2"/>
      <w:szCs w:val="2"/>
    </w:rPr>
  </w:style>
  <w:style w:type="character" w:customStyle="1" w:styleId="11">
    <w:name w:val="页眉 Char"/>
    <w:basedOn w:val="7"/>
    <w:link w:val="4"/>
    <w:semiHidden/>
    <w:qFormat/>
    <w:uiPriority w:val="99"/>
    <w:rPr>
      <w:rFonts w:cs="Calibri"/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3722</Words>
  <Characters>3969</Characters>
  <Lines>41</Lines>
  <Paragraphs>11</Paragraphs>
  <TotalTime>22</TotalTime>
  <ScaleCrop>false</ScaleCrop>
  <LinksUpToDate>false</LinksUpToDate>
  <CharactersWithSpaces>3987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2017-11-03T04:07:00Z</dcterms:created>
  <dc:creator>6102</dc:creator>
  <cp:lastModifiedBy>admin</cp:lastModifiedBy>
  <cp:lastPrinted>2018-03-22T04:03:00Z</cp:lastPrinted>
  <dcterms:modified xsi:type="dcterms:W3CDTF">2022-08-25T09:29:02Z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81A40AAFD7F34CCCBB853CC41E9625C5</vt:lpwstr>
  </property>
</Properties>
</file>