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民政局</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民政</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民</w:t>
      </w:r>
      <w:r>
        <w:rPr>
          <w:rFonts w:hint="eastAsia" w:ascii="黑体" w:hAnsi="黑体" w:eastAsia="黑体" w:cs="黑体"/>
          <w:kern w:val="0"/>
          <w:sz w:val="32"/>
          <w:szCs w:val="32"/>
        </w:rPr>
        <w:t>政局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val="en-US"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民</w:t>
      </w:r>
      <w:r>
        <w:rPr>
          <w:rFonts w:hint="eastAsia" w:ascii="黑体" w:hAnsi="黑体" w:eastAsia="黑体" w:cs="黑体"/>
          <w:kern w:val="0"/>
          <w:sz w:val="32"/>
          <w:szCs w:val="32"/>
        </w:rPr>
        <w:t>政局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widowControl/>
        <w:spacing w:line="600" w:lineRule="exact"/>
        <w:ind w:firstLine="640" w:firstLineChars="200"/>
        <w:rPr>
          <w:rFonts w:hint="eastAsia" w:ascii="仿宋" w:hAnsi="仿宋" w:eastAsia="仿宋" w:cs="仿宋_GB2312"/>
          <w:kern w:val="0"/>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民</w:t>
      </w:r>
      <w:r>
        <w:rPr>
          <w:rFonts w:hint="eastAsia" w:ascii="黑体" w:hAnsi="黑体" w:eastAsia="黑体"/>
          <w:sz w:val="36"/>
          <w:szCs w:val="36"/>
        </w:rPr>
        <w:t>政局概况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民</w:t>
      </w:r>
      <w:r>
        <w:rPr>
          <w:rFonts w:hint="eastAsia" w:ascii="黑体" w:hAnsi="黑体" w:eastAsia="黑体"/>
          <w:sz w:val="32"/>
          <w:szCs w:val="32"/>
        </w:rPr>
        <w:t>政局主要职能</w:t>
      </w:r>
    </w:p>
    <w:p>
      <w:pPr>
        <w:keepNext w:val="0"/>
        <w:keepLines w:val="0"/>
        <w:pageBreakBefore w:val="0"/>
        <w:widowControl w:val="0"/>
        <w:wordWrap/>
        <w:topLinePunct w:val="0"/>
        <w:bidi w:val="0"/>
        <w:adjustRightInd w:val="0"/>
        <w:snapToGrid w:val="0"/>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根据</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中共</w:t>
      </w:r>
      <w:r>
        <w:rPr>
          <w:rFonts w:hint="eastAsia" w:ascii="仿宋_GB2312" w:hAnsi="仿宋" w:eastAsia="仿宋_GB2312" w:cs="仿宋_GB2312"/>
          <w:sz w:val="32"/>
          <w:szCs w:val="32"/>
          <w:lang w:eastAsia="zh-CN"/>
        </w:rPr>
        <w:t>驻马店市委办公室</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lang w:eastAsia="zh-CN"/>
        </w:rPr>
        <w:t>驻马店市</w:t>
      </w:r>
      <w:r>
        <w:rPr>
          <w:rFonts w:hint="eastAsia" w:ascii="仿宋_GB2312" w:hAnsi="仿宋" w:eastAsia="仿宋_GB2312" w:cs="仿宋_GB2312"/>
          <w:sz w:val="32"/>
          <w:szCs w:val="32"/>
        </w:rPr>
        <w:t>人民政府</w:t>
      </w:r>
      <w:r>
        <w:rPr>
          <w:rFonts w:hint="eastAsia" w:ascii="仿宋_GB2312" w:hAnsi="仿宋" w:eastAsia="仿宋_GB2312" w:cs="仿宋_GB2312"/>
          <w:sz w:val="32"/>
          <w:szCs w:val="32"/>
          <w:lang w:eastAsia="zh-CN"/>
        </w:rPr>
        <w:t>办公室关于印发</w:t>
      </w:r>
      <w:r>
        <w:rPr>
          <w:rFonts w:hint="eastAsia" w:ascii="仿宋_GB2312" w:hAnsi="仿宋" w:eastAsia="仿宋_GB2312" w:cs="仿宋_GB2312"/>
          <w:sz w:val="32"/>
          <w:szCs w:val="32"/>
          <w:lang w:val="en-US" w:eastAsia="zh-CN"/>
        </w:rPr>
        <w:t>&lt;</w:t>
      </w:r>
      <w:r>
        <w:rPr>
          <w:rFonts w:hint="eastAsia" w:ascii="仿宋_GB2312" w:hAnsi="仿宋" w:eastAsia="仿宋_GB2312" w:cs="仿宋_GB2312"/>
          <w:sz w:val="32"/>
          <w:szCs w:val="32"/>
          <w:lang w:eastAsia="zh-CN"/>
        </w:rPr>
        <w:t>驻马店市民政局职能配置内设机构和人员编制规定</w:t>
      </w:r>
      <w:r>
        <w:rPr>
          <w:rFonts w:hint="eastAsia" w:ascii="仿宋_GB2312" w:hAnsi="仿宋" w:eastAsia="仿宋_GB2312" w:cs="仿宋_GB2312"/>
          <w:sz w:val="32"/>
          <w:szCs w:val="32"/>
          <w:lang w:val="en-US" w:eastAsia="zh-CN"/>
        </w:rPr>
        <w:t>&gt;</w:t>
      </w:r>
      <w:r>
        <w:rPr>
          <w:rFonts w:hint="eastAsia" w:ascii="仿宋_GB2312" w:hAnsi="仿宋" w:eastAsia="仿宋_GB2312" w:cs="仿宋_GB2312"/>
          <w:sz w:val="32"/>
          <w:szCs w:val="32"/>
          <w:lang w:eastAsia="zh-CN"/>
        </w:rPr>
        <w:t>的通知》</w:t>
      </w:r>
      <w:r>
        <w:rPr>
          <w:rFonts w:ascii="仿宋_GB2312" w:hAnsi="仿宋" w:eastAsia="仿宋_GB2312" w:cs="仿宋_GB2312"/>
          <w:sz w:val="32"/>
          <w:szCs w:val="32"/>
        </w:rPr>
        <w:t>(</w:t>
      </w:r>
      <w:r>
        <w:rPr>
          <w:rFonts w:hint="eastAsia" w:ascii="仿宋_GB2312" w:hAnsi="仿宋" w:eastAsia="仿宋_GB2312" w:cs="仿宋_GB2312"/>
          <w:sz w:val="32"/>
          <w:szCs w:val="32"/>
          <w:lang w:eastAsia="zh-CN"/>
        </w:rPr>
        <w:t>驻办文</w:t>
      </w:r>
      <w:r>
        <w:rPr>
          <w:rFonts w:hint="eastAsia" w:ascii="仿宋_GB2312" w:hAnsi="仿宋" w:eastAsia="仿宋_GB2312" w:cs="仿宋_GB2312"/>
          <w:sz w:val="32"/>
          <w:szCs w:val="32"/>
        </w:rPr>
        <w:t>〔</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62</w:t>
      </w:r>
      <w:r>
        <w:rPr>
          <w:rFonts w:hint="eastAsia" w:ascii="仿宋_GB2312" w:hAnsi="仿宋" w:eastAsia="仿宋_GB2312" w:cs="仿宋_GB2312"/>
          <w:sz w:val="32"/>
          <w:szCs w:val="32"/>
        </w:rPr>
        <w:t>号</w:t>
      </w:r>
      <w:r>
        <w:rPr>
          <w:rFonts w:ascii="仿宋_GB2312" w:hAnsi="仿宋" w:eastAsia="仿宋_GB2312" w:cs="仿宋_GB2312"/>
          <w:sz w:val="32"/>
          <w:szCs w:val="32"/>
        </w:rPr>
        <w:t>)</w:t>
      </w:r>
      <w:r>
        <w:rPr>
          <w:rFonts w:hint="eastAsia" w:ascii="仿宋_GB2312" w:hAnsi="仿宋" w:eastAsia="仿宋_GB2312" w:cs="仿宋_GB2312"/>
          <w:sz w:val="32"/>
          <w:szCs w:val="32"/>
        </w:rPr>
        <w:t>文件规定，</w:t>
      </w:r>
      <w:r>
        <w:rPr>
          <w:rFonts w:hint="eastAsia" w:ascii="仿宋_GB2312" w:hAnsi="仿宋" w:eastAsia="仿宋_GB2312" w:cs="仿宋_GB2312"/>
          <w:sz w:val="32"/>
          <w:szCs w:val="32"/>
          <w:lang w:eastAsia="zh-CN"/>
        </w:rPr>
        <w:t>驻马店市民政局是市政府工作部门</w:t>
      </w:r>
      <w:r>
        <w:rPr>
          <w:rFonts w:hint="eastAsia" w:ascii="仿宋_GB2312" w:hAnsi="仿宋" w:eastAsia="仿宋_GB2312" w:cs="仿宋_GB2312"/>
          <w:sz w:val="32"/>
          <w:szCs w:val="32"/>
        </w:rPr>
        <w:t>，主要职责是：</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贯彻民政工作法律、法规和方针政策，拟订全市民政事业发展规划并组织实施。</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依法承担对社会团体、基金会、社会服务机构等社会组织进行登记管理和执法监督。</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落实各项救助政策，牵头拟订全市社会救助规划、政策、标准，健全城乡社会救助体系，负责城乡居民最低生活保障、特困人员救助供养、临时救助、生活无着流浪乞讨人员救助工作，指导救助管理站建设，协调跨市级、跨县区救助管理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负责城乡基层群众自治建设和社区治理政策的落实并组织实施，指导城乡社区治理体系和治理能力建设，提出加强和改进城乡基层政权建设的建议，推动村务公开和基层民主政治建设。</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监督实施行政区划管理政策和行政区域界限、地名管理办法，负责全市乡镇以上行政区域的设立、命名、变更及政府驻地迁移的审核工作，负责审核跨县区和重要的自然地理实体命名、更名的审核上报工作，负责行政区域界线勘定、管理和地名管理服务工作，指导县区和乡镇级行政区域界线勘定、管理和地名管理服务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组织实施有关婚姻管理政策，承担全市涉港、澳、台婚姻登记工作，指导县区婚姻登记工作，负责推进全市婚俗改革。</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组织实施有关殡葬管理政策，指导县区殡葬管理工作，负责推进全市殡葬改革。</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统筹推进、督促指导、监督管理养老服务工作，拟订全市养老服务体系建设规划政策、标准并组织实施，承担老年人福利和特殊困难老年人救助工作。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负责全市残疾人权益保护政策的落实并指导实施统筹推进残疾人福利制度建设和康复辅助器具产业发展。</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负责全市儿童福利、孤弃儿童保障、儿童收养、儿童救助保护政策、标准的落实并组织实施，健全农村留守儿童关爱服务体系和困境儿童保障制度。</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负责全市促进慈善事业发展政策的落实并组织实施，指导社会捐助工作;负责福利彩票管理工作。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负责全市社会工作、志愿服务政策和标准的落实并组织实施，会同有关部门推进社会工作人才队伍建设和志愿者队伍建设。</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eastAsia="zh-CN"/>
        </w:rPr>
        <w:t>民</w:t>
      </w:r>
      <w:r>
        <w:rPr>
          <w:rFonts w:hint="eastAsia" w:ascii="黑体" w:hAnsi="黑体" w:eastAsia="黑体"/>
          <w:sz w:val="32"/>
          <w:szCs w:val="32"/>
        </w:rPr>
        <w:t>政局机构设置及预算单位构成</w:t>
      </w:r>
    </w:p>
    <w:p>
      <w:pPr>
        <w:keepNext w:val="0"/>
        <w:keepLines w:val="0"/>
        <w:pageBreakBefore w:val="0"/>
        <w:widowControl w:val="0"/>
        <w:numPr>
          <w:ilvl w:val="0"/>
          <w:numId w:val="0"/>
        </w:numPr>
        <w:wordWrap/>
        <w:topLinePunct w:val="0"/>
        <w:bidi w:val="0"/>
        <w:adjustRightInd w:val="0"/>
        <w:snapToGrid w:val="0"/>
        <w:spacing w:line="560" w:lineRule="exact"/>
        <w:ind w:firstLine="640" w:firstLineChars="200"/>
        <w:jc w:val="left"/>
        <w:textAlignment w:val="auto"/>
        <w:rPr>
          <w:rFonts w:hint="eastAsia" w:ascii="仿宋" w:hAnsi="仿宋" w:eastAsia="仿宋" w:cs="仿宋"/>
          <w:b/>
          <w:bCs/>
          <w:sz w:val="32"/>
          <w:szCs w:val="32"/>
          <w:lang w:eastAsia="zh-CN"/>
        </w:rPr>
      </w:pPr>
      <w:r>
        <w:rPr>
          <w:rFonts w:hint="eastAsia" w:ascii="仿宋_GB2312" w:hAnsi="Times New Roman" w:eastAsia="仿宋_GB2312" w:cs="仿宋_GB2312"/>
          <w:kern w:val="44"/>
          <w:sz w:val="32"/>
          <w:szCs w:val="32"/>
          <w:lang w:val="en-US" w:eastAsia="zh-CN"/>
        </w:rPr>
        <w:t>驻马店</w:t>
      </w:r>
      <w:r>
        <w:rPr>
          <w:rFonts w:hint="eastAsia" w:ascii="仿宋_GB2312" w:hAnsi="Times New Roman" w:eastAsia="仿宋_GB2312" w:cs="仿宋_GB2312"/>
          <w:kern w:val="44"/>
          <w:sz w:val="32"/>
          <w:szCs w:val="32"/>
          <w:lang w:eastAsia="zh-CN"/>
        </w:rPr>
        <w:t>市民政局机关内设科室</w:t>
      </w:r>
      <w:r>
        <w:rPr>
          <w:rFonts w:hint="eastAsia" w:ascii="仿宋_GB2312" w:hAnsi="仿宋_GB2312" w:eastAsia="仿宋_GB2312" w:cs="仿宋_GB2312"/>
          <w:color w:val="auto"/>
          <w:kern w:val="0"/>
          <w:sz w:val="32"/>
          <w:szCs w:val="32"/>
          <w:highlight w:val="none"/>
          <w:lang w:val="en-US" w:eastAsia="zh-CN"/>
        </w:rPr>
        <w:t>12个，分别是</w:t>
      </w:r>
      <w:r>
        <w:rPr>
          <w:rFonts w:hint="eastAsia" w:ascii="仿宋_GB2312" w:hAnsi="Times New Roman" w:eastAsia="仿宋_GB2312" w:cs="仿宋_GB2312"/>
          <w:kern w:val="44"/>
          <w:sz w:val="32"/>
          <w:szCs w:val="32"/>
          <w:lang w:eastAsia="zh-CN"/>
        </w:rPr>
        <w:t>办公室、行政审批服务科、规划财务科、社会组织管理科、社会救助科、基层政权建设和社区建设治理科、区划地名界线管理科、社会事务科、养老服务科、儿童福利科、慈善事业促进与社会工作科、机关党委（人事教育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政局机关本级</w:t>
      </w:r>
      <w:r>
        <w:rPr>
          <w:rFonts w:hint="eastAsia" w:ascii="仿宋" w:hAnsi="仿宋" w:eastAsia="仿宋" w:cs="仿宋_GB2312"/>
          <w:sz w:val="32"/>
          <w:szCs w:val="32"/>
          <w:lang w:eastAsia="zh-CN"/>
        </w:rPr>
        <w:t>；</w:t>
      </w:r>
    </w:p>
    <w:p>
      <w:pPr>
        <w:pStyle w:val="2"/>
        <w:keepNext w:val="0"/>
        <w:keepLines w:val="0"/>
        <w:pageBreakBefore w:val="0"/>
        <w:widowControl w:val="0"/>
        <w:kinsoku w:val="0"/>
        <w:wordWrap/>
        <w:overflowPunct w:val="0"/>
        <w:topLinePunct w:val="0"/>
        <w:bidi w:val="0"/>
        <w:snapToGrid w:val="0"/>
        <w:spacing w:line="560" w:lineRule="exact"/>
        <w:ind w:left="0" w:leftChars="0" w:firstLine="640" w:firstLineChars="200"/>
        <w:textAlignment w:val="auto"/>
        <w:outlineLvl w:val="9"/>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w:t>
      </w:r>
      <w:r>
        <w:rPr>
          <w:rFonts w:hint="eastAsia" w:ascii="仿宋_GB2312" w:hAnsi="Times New Roman" w:eastAsia="仿宋_GB2312" w:cs="仿宋_GB2312"/>
          <w:kern w:val="0"/>
          <w:sz w:val="32"/>
          <w:szCs w:val="32"/>
          <w:lang w:val="en-US" w:eastAsia="zh-CN" w:bidi="ar-SA"/>
        </w:rPr>
        <w:t>驻马店市低收入家庭经济状况核对中心</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3.</w:t>
      </w:r>
      <w:r>
        <w:rPr>
          <w:rFonts w:hint="eastAsia" w:ascii="仿宋_GB2312" w:hAnsi="Times New Roman" w:eastAsia="仿宋_GB2312" w:cs="仿宋_GB2312"/>
          <w:kern w:val="0"/>
          <w:sz w:val="32"/>
          <w:szCs w:val="32"/>
          <w:lang w:val="en-US" w:eastAsia="zh-CN" w:bidi="ar-SA"/>
        </w:rPr>
        <w:t>驻马店市殡葬服务中心</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4.</w:t>
      </w:r>
      <w:r>
        <w:rPr>
          <w:rFonts w:hint="eastAsia" w:ascii="仿宋_GB2312" w:hAnsi="Times New Roman" w:eastAsia="仿宋_GB2312" w:cs="仿宋_GB2312"/>
          <w:kern w:val="0"/>
          <w:sz w:val="32"/>
          <w:szCs w:val="32"/>
          <w:lang w:val="en-US" w:eastAsia="zh-CN" w:bidi="ar-SA"/>
        </w:rPr>
        <w:t>驻马店市儿童福利院</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5.</w:t>
      </w:r>
      <w:r>
        <w:rPr>
          <w:rFonts w:hint="eastAsia" w:ascii="仿宋_GB2312" w:hAnsi="Times New Roman" w:eastAsia="仿宋_GB2312" w:cs="仿宋_GB2312"/>
          <w:kern w:val="0"/>
          <w:sz w:val="32"/>
          <w:szCs w:val="32"/>
          <w:lang w:val="en-US" w:eastAsia="zh-CN" w:bidi="ar-SA"/>
        </w:rPr>
        <w:t>驻马店市救助站</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6.</w:t>
      </w:r>
      <w:r>
        <w:rPr>
          <w:rFonts w:hint="eastAsia" w:ascii="仿宋_GB2312" w:hAnsi="Times New Roman" w:eastAsia="仿宋_GB2312" w:cs="仿宋_GB2312"/>
          <w:kern w:val="0"/>
          <w:sz w:val="32"/>
          <w:szCs w:val="32"/>
          <w:lang w:val="en-US" w:eastAsia="zh-CN" w:bidi="ar-SA"/>
        </w:rPr>
        <w:t>驻马店市福利院</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7.</w:t>
      </w:r>
      <w:r>
        <w:rPr>
          <w:rFonts w:hint="eastAsia" w:ascii="仿宋_GB2312" w:hAnsi="Times New Roman" w:eastAsia="仿宋_GB2312" w:cs="仿宋_GB2312"/>
          <w:kern w:val="0"/>
          <w:sz w:val="32"/>
          <w:szCs w:val="32"/>
          <w:lang w:val="en-US" w:eastAsia="zh-CN" w:bidi="ar-SA"/>
        </w:rPr>
        <w:t>驻马店市社会福利有奖募捐中心。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民</w:t>
      </w:r>
      <w:r>
        <w:rPr>
          <w:rFonts w:hint="eastAsia" w:ascii="黑体" w:hAnsi="黑体" w:eastAsia="黑体" w:cs="黑体"/>
          <w:kern w:val="0"/>
          <w:sz w:val="36"/>
          <w:szCs w:val="36"/>
        </w:rPr>
        <w:t>政局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3260.43</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3260.43</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减少111.12</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3.3</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w:t>
      </w:r>
      <w:r>
        <w:rPr>
          <w:rFonts w:hint="eastAsia" w:ascii="仿宋" w:hAnsi="仿宋" w:eastAsia="仿宋" w:cs="仿宋_GB2312"/>
          <w:color w:val="000000"/>
          <w:sz w:val="32"/>
          <w:szCs w:val="32"/>
          <w:lang w:eastAsia="zh-CN"/>
        </w:rPr>
        <w:t>上级转移支付资金减少</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3260.43</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2390.42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Times New Roman" w:eastAsia="仿宋_GB2312"/>
          <w:sz w:val="32"/>
          <w:szCs w:val="32"/>
        </w:rPr>
        <w:t>上级转移支付</w:t>
      </w:r>
      <w:r>
        <w:rPr>
          <w:rFonts w:hint="eastAsia" w:ascii="仿宋_GB2312" w:eastAsia="仿宋_GB2312"/>
          <w:sz w:val="32"/>
          <w:szCs w:val="32"/>
        </w:rPr>
        <w:t>870</w:t>
      </w:r>
      <w:r>
        <w:rPr>
          <w:rFonts w:hint="eastAsia" w:ascii="仿宋_GB2312" w:eastAsia="仿宋_GB2312"/>
          <w:sz w:val="32"/>
          <w:szCs w:val="32"/>
          <w:lang w:val="en-US" w:eastAsia="zh-CN"/>
        </w:rPr>
        <w:t>.</w:t>
      </w:r>
      <w:r>
        <w:rPr>
          <w:rFonts w:hint="eastAsia" w:ascii="仿宋_GB2312" w:eastAsia="仿宋_GB2312"/>
          <w:sz w:val="32"/>
          <w:szCs w:val="32"/>
        </w:rPr>
        <w:t>01万元</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3260.43</w:t>
      </w:r>
      <w:r>
        <w:rPr>
          <w:rFonts w:hint="eastAsia" w:ascii="仿宋" w:hAnsi="仿宋" w:eastAsia="仿宋"/>
          <w:sz w:val="32"/>
          <w:szCs w:val="32"/>
        </w:rPr>
        <w:t>万元，其中：基本支出</w:t>
      </w:r>
      <w:r>
        <w:rPr>
          <w:rFonts w:hint="eastAsia" w:ascii="仿宋" w:hAnsi="仿宋" w:eastAsia="仿宋"/>
          <w:sz w:val="32"/>
          <w:szCs w:val="32"/>
          <w:lang w:val="en-US" w:eastAsia="zh-CN"/>
        </w:rPr>
        <w:t>1435.77</w:t>
      </w:r>
      <w:r>
        <w:rPr>
          <w:rFonts w:hint="eastAsia" w:ascii="仿宋" w:hAnsi="仿宋" w:eastAsia="仿宋"/>
          <w:sz w:val="32"/>
          <w:szCs w:val="32"/>
        </w:rPr>
        <w:t>万元，占</w:t>
      </w:r>
      <w:r>
        <w:rPr>
          <w:rFonts w:hint="eastAsia" w:ascii="仿宋" w:hAnsi="仿宋" w:eastAsia="仿宋"/>
          <w:sz w:val="32"/>
          <w:szCs w:val="32"/>
          <w:lang w:val="en-US" w:eastAsia="zh-CN"/>
        </w:rPr>
        <w:t>44.04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1824.66</w:t>
      </w:r>
      <w:r>
        <w:rPr>
          <w:rFonts w:hint="eastAsia" w:ascii="仿宋" w:hAnsi="仿宋" w:eastAsia="仿宋"/>
          <w:sz w:val="32"/>
          <w:szCs w:val="32"/>
        </w:rPr>
        <w:t>万元，占</w:t>
      </w:r>
      <w:r>
        <w:rPr>
          <w:rFonts w:hint="eastAsia" w:ascii="仿宋" w:hAnsi="仿宋" w:eastAsia="仿宋"/>
          <w:sz w:val="32"/>
          <w:szCs w:val="32"/>
          <w:lang w:val="en-US" w:eastAsia="zh-CN"/>
        </w:rPr>
        <w:t>55.96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2390.42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37.6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1.6</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人员工资有所增加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both"/>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eastAsia="zh-CN"/>
        </w:rPr>
        <w:t>民</w:t>
      </w:r>
      <w:r>
        <w:rPr>
          <w:rFonts w:hint="eastAsia" w:ascii="仿宋" w:hAnsi="仿宋" w:eastAsia="仿宋" w:cs="仿宋_GB2312"/>
          <w:color w:val="333333"/>
          <w:sz w:val="32"/>
          <w:szCs w:val="32"/>
        </w:rPr>
        <w:t>政局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2390.42</w:t>
      </w:r>
      <w:r>
        <w:rPr>
          <w:rFonts w:hint="eastAsia" w:ascii="仿宋" w:hAnsi="仿宋" w:eastAsia="仿宋" w:cs="仿宋_GB2312"/>
          <w:color w:val="000000"/>
          <w:sz w:val="32"/>
          <w:szCs w:val="32"/>
        </w:rPr>
        <w:t>万元。主要用于以下方面：社会保障和就业支出</w:t>
      </w:r>
      <w:r>
        <w:rPr>
          <w:rFonts w:hint="eastAsia" w:ascii="仿宋" w:hAnsi="仿宋" w:eastAsia="仿宋" w:cs="仿宋_GB2312"/>
          <w:color w:val="000000"/>
          <w:sz w:val="32"/>
          <w:szCs w:val="32"/>
          <w:lang w:val="en-US" w:eastAsia="zh-CN"/>
        </w:rPr>
        <w:t>2242.29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93.8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87.06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3.64</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61.07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2.56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1435.77</w:t>
      </w:r>
      <w:r>
        <w:rPr>
          <w:rFonts w:hint="eastAsia" w:ascii="仿宋" w:hAnsi="仿宋" w:eastAsia="仿宋"/>
          <w:sz w:val="32"/>
          <w:szCs w:val="32"/>
        </w:rPr>
        <w:t>万元，其中：人员经费</w:t>
      </w:r>
      <w:r>
        <w:rPr>
          <w:rFonts w:hint="eastAsia" w:ascii="仿宋" w:hAnsi="仿宋" w:eastAsia="仿宋"/>
          <w:sz w:val="32"/>
          <w:szCs w:val="32"/>
          <w:lang w:val="en-US" w:eastAsia="zh-CN"/>
        </w:rPr>
        <w:t>1330.74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105.02</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val="en-US"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7.4</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4.5</w:t>
      </w:r>
      <w:r>
        <w:rPr>
          <w:rFonts w:hint="eastAsia" w:ascii="仿宋" w:hAnsi="仿宋" w:eastAsia="仿宋"/>
          <w:sz w:val="32"/>
          <w:szCs w:val="32"/>
        </w:rPr>
        <w:t>万元，下降了</w:t>
      </w:r>
      <w:r>
        <w:rPr>
          <w:rFonts w:hint="eastAsia" w:ascii="仿宋" w:hAnsi="仿宋" w:eastAsia="仿宋"/>
          <w:sz w:val="32"/>
          <w:szCs w:val="32"/>
          <w:lang w:val="en-US" w:eastAsia="zh-CN"/>
        </w:rPr>
        <w:t>37.8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7.4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7.4万元，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0.5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7.25</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我局车辆年数已久，车辆维修支出大</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5</w:t>
      </w:r>
      <w:r>
        <w:rPr>
          <w:rFonts w:hint="eastAsia" w:ascii="仿宋" w:hAnsi="仿宋" w:eastAsia="仿宋"/>
          <w:sz w:val="32"/>
          <w:szCs w:val="32"/>
        </w:rPr>
        <w:t>万元，下降了</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厉行节约，压缩公务接待费</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173.29</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1359.86</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522.26</w:t>
      </w:r>
      <w:r>
        <w:rPr>
          <w:rFonts w:hint="eastAsia" w:ascii="仿宋" w:hAnsi="仿宋" w:eastAsia="仿宋"/>
          <w:sz w:val="32"/>
          <w:szCs w:val="32"/>
        </w:rPr>
        <w:t>万元，政府采购服务预算</w:t>
      </w:r>
      <w:r>
        <w:rPr>
          <w:rFonts w:hint="eastAsia" w:ascii="仿宋" w:hAnsi="仿宋" w:eastAsia="仿宋"/>
          <w:sz w:val="32"/>
          <w:szCs w:val="32"/>
          <w:lang w:val="en-US" w:eastAsia="zh-CN"/>
        </w:rPr>
        <w:t>837.6</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7</w:t>
      </w:r>
      <w:r>
        <w:rPr>
          <w:rFonts w:hint="eastAsia" w:ascii="仿宋" w:hAnsi="仿宋" w:eastAsia="仿宋"/>
          <w:sz w:val="32"/>
          <w:szCs w:val="32"/>
        </w:rPr>
        <w:t>辆，其中：一般执法执勤用车</w:t>
      </w:r>
      <w:r>
        <w:rPr>
          <w:rFonts w:hint="eastAsia" w:ascii="仿宋" w:hAnsi="仿宋" w:eastAsia="仿宋"/>
          <w:sz w:val="32"/>
          <w:szCs w:val="32"/>
          <w:lang w:val="en-US" w:eastAsia="zh-CN"/>
        </w:rPr>
        <w:t>1</w:t>
      </w:r>
      <w:r>
        <w:rPr>
          <w:rFonts w:hint="eastAsia" w:ascii="仿宋" w:hAnsi="仿宋" w:eastAsia="仿宋"/>
          <w:sz w:val="32"/>
          <w:szCs w:val="32"/>
        </w:rPr>
        <w:t>辆、其他用车</w:t>
      </w:r>
      <w:r>
        <w:rPr>
          <w:rFonts w:hint="eastAsia" w:ascii="仿宋" w:hAnsi="仿宋" w:eastAsia="仿宋"/>
          <w:sz w:val="32"/>
          <w:szCs w:val="32"/>
          <w:lang w:val="en-US" w:eastAsia="zh-CN"/>
        </w:rPr>
        <w:t>6</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1</w:t>
      </w:r>
      <w:r>
        <w:rPr>
          <w:rFonts w:hint="eastAsia" w:ascii="仿宋" w:hAnsi="仿宋" w:eastAsia="仿宋"/>
          <w:sz w:val="32"/>
          <w:szCs w:val="32"/>
        </w:rPr>
        <w:t>辆、应急车辆</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 w:hAnsi="仿宋" w:eastAsia="仿宋"/>
          <w:sz w:val="32"/>
          <w:szCs w:val="32"/>
          <w:lang w:eastAsia="zh-CN"/>
        </w:rPr>
        <w:t>其他</w:t>
      </w:r>
      <w:r>
        <w:rPr>
          <w:rFonts w:hint="eastAsia" w:ascii="仿宋" w:hAnsi="仿宋" w:eastAsia="仿宋"/>
          <w:sz w:val="32"/>
          <w:szCs w:val="32"/>
        </w:rPr>
        <w:t>用车</w:t>
      </w:r>
      <w:r>
        <w:rPr>
          <w:rFonts w:hint="eastAsia" w:ascii="仿宋" w:hAnsi="仿宋" w:eastAsia="仿宋"/>
          <w:sz w:val="32"/>
          <w:szCs w:val="32"/>
          <w:lang w:val="en-US" w:eastAsia="zh-CN"/>
        </w:rPr>
        <w:t>4</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left"/>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负责参与管理的专项转移支付项目共</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项，主要包括：</w:t>
      </w:r>
      <w:r>
        <w:rPr>
          <w:rFonts w:hint="eastAsia" w:ascii="仿宋_GB2312" w:hAnsi="宋体" w:eastAsia="仿宋_GB2312" w:cs="Courier New"/>
          <w:sz w:val="32"/>
          <w:szCs w:val="32"/>
          <w:lang w:eastAsia="zh-CN"/>
        </w:rPr>
        <w:t>困难群众救助资金</w:t>
      </w:r>
      <w:r>
        <w:rPr>
          <w:rFonts w:hint="eastAsia" w:ascii="仿宋_GB2312" w:hAnsi="宋体" w:eastAsia="仿宋_GB2312" w:cs="Courier New"/>
          <w:sz w:val="32"/>
          <w:szCs w:val="32"/>
          <w:lang w:val="en-US" w:eastAsia="zh-CN"/>
        </w:rPr>
        <w:t>470.01万元，福利彩票销售机构的业务费支出306万元，用于社会福利的彩票公益金支出94万元</w:t>
      </w: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将按照《预算法》等规定和预算管理制度改革有关精神，积极做好项目分配前期准备工作，在规定的时间内向财政部门提出资金分配意见，根据有关要求做好项目申报等相关工作。</w:t>
      </w:r>
    </w:p>
    <w:p>
      <w:pPr>
        <w:keepNext w:val="0"/>
        <w:keepLines w:val="0"/>
        <w:pageBreakBefore w:val="0"/>
        <w:widowControl w:val="0"/>
        <w:wordWrap/>
        <w:topLinePunct w:val="0"/>
        <w:bidi w:val="0"/>
        <w:adjustRightInd w:val="0"/>
        <w:snapToGrid w:val="0"/>
        <w:spacing w:line="560" w:lineRule="exact"/>
        <w:ind w:firstLine="0" w:firstLineChars="0"/>
        <w:jc w:val="left"/>
        <w:textAlignment w:val="auto"/>
        <w:rPr>
          <w:rFonts w:hint="eastAsia" w:ascii="楷体_GB2312" w:hAnsi="Times New Roman" w:eastAsia="楷体_GB2312" w:cs="仿宋_GB2312"/>
          <w:b/>
          <w:kern w:val="0"/>
          <w:sz w:val="32"/>
          <w:szCs w:val="32"/>
        </w:rPr>
      </w:pPr>
    </w:p>
    <w:p>
      <w:pPr>
        <w:spacing w:line="600" w:lineRule="exact"/>
        <w:rPr>
          <w:rFonts w:ascii="仿宋" w:hAnsi="仿宋" w:eastAsia="仿宋"/>
          <w:sz w:val="32"/>
          <w:szCs w:val="32"/>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20年度部门预算表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FDFF8"/>
    <w:multiLevelType w:val="singleLevel"/>
    <w:tmpl w:val="8C0FDF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AEA4118"/>
    <w:rsid w:val="0BA803C1"/>
    <w:rsid w:val="1EFB577C"/>
    <w:rsid w:val="34787E99"/>
    <w:rsid w:val="46130870"/>
    <w:rsid w:val="514A10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line="240" w:lineRule="auto"/>
      <w:ind w:left="761" w:firstLine="0" w:firstLineChars="0"/>
      <w:jc w:val="left"/>
    </w:pPr>
    <w:rPr>
      <w:rFonts w:ascii="仿宋_GB2312" w:cs="仿宋_GB2312"/>
      <w:kern w:val="0"/>
      <w:szCs w:val="32"/>
    </w:rPr>
  </w:style>
  <w:style w:type="paragraph" w:styleId="3">
    <w:name w:val="Balloon Text"/>
    <w:basedOn w:val="1"/>
    <w:link w:val="11"/>
    <w:semiHidden/>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3"/>
    <w:semiHidden/>
    <w:qFormat/>
    <w:locked/>
    <w:uiPriority w:val="99"/>
    <w:rPr>
      <w:sz w:val="2"/>
      <w:szCs w:val="2"/>
    </w:rPr>
  </w:style>
  <w:style w:type="character" w:customStyle="1" w:styleId="12">
    <w:name w:val="页眉 Char"/>
    <w:basedOn w:val="8"/>
    <w:link w:val="5"/>
    <w:semiHidden/>
    <w:qFormat/>
    <w:uiPriority w:val="99"/>
    <w:rPr>
      <w:rFonts w:cs="Calibri"/>
      <w:sz w:val="18"/>
      <w:szCs w:val="18"/>
    </w:rPr>
  </w:style>
  <w:style w:type="character" w:customStyle="1" w:styleId="13">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4073</Words>
  <Characters>4348</Characters>
  <Lines>41</Lines>
  <Paragraphs>11</Paragraphs>
  <TotalTime>0</TotalTime>
  <ScaleCrop>false</ScaleCrop>
  <LinksUpToDate>false</LinksUpToDate>
  <CharactersWithSpaces>4358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2022-09-02T09:06:01Z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9063ABF694774503B5FB3160A8C37855</vt:lpwstr>
  </property>
</Properties>
</file>