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驻马店市退役军人事务局</w:t>
      </w:r>
    </w:p>
    <w:p>
      <w:pPr>
        <w:spacing w:line="600" w:lineRule="exact"/>
        <w:jc w:val="center"/>
        <w:rPr>
          <w:rFonts w:hint="eastAsia"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21年部门预算说明</w:t>
      </w:r>
    </w:p>
    <w:p>
      <w:pPr>
        <w:spacing w:line="600" w:lineRule="exact"/>
        <w:jc w:val="center"/>
        <w:rPr>
          <w:rFonts w:asciiTheme="majorEastAsia" w:hAnsiTheme="majorEastAsia" w:eastAsiaTheme="majorEastAsia"/>
          <w:b/>
          <w:sz w:val="44"/>
          <w:szCs w:val="44"/>
        </w:rPr>
      </w:pPr>
    </w:p>
    <w:p>
      <w:pPr>
        <w:widowControl/>
        <w:spacing w:line="600" w:lineRule="exact"/>
        <w:jc w:val="center"/>
        <w:rPr>
          <w:rFonts w:ascii="宋体" w:cs="Times New Roman"/>
          <w:b/>
          <w:bCs/>
          <w:kern w:val="0"/>
          <w:sz w:val="52"/>
          <w:szCs w:val="52"/>
        </w:rPr>
      </w:pPr>
      <w:r>
        <w:rPr>
          <w:rFonts w:hint="eastAsia" w:ascii="宋体" w:hAnsi="宋体" w:cs="宋体"/>
          <w:b/>
          <w:bCs/>
          <w:kern w:val="0"/>
          <w:sz w:val="52"/>
          <w:szCs w:val="52"/>
        </w:rPr>
        <w:t>目录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第一部分驻马店市退役军人事务局概况</w:t>
      </w:r>
    </w:p>
    <w:p>
      <w:pPr>
        <w:numPr>
          <w:ilvl w:val="0"/>
          <w:numId w:val="1"/>
        </w:num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主要职能</w:t>
      </w:r>
    </w:p>
    <w:p>
      <w:pPr>
        <w:numPr>
          <w:ilvl w:val="0"/>
          <w:numId w:val="1"/>
        </w:numPr>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第二部分驻马店市退役军人事务局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val="en-US"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附件：驻马店市退役军人事务局</w:t>
      </w:r>
      <w:r>
        <w:rPr>
          <w:rFonts w:ascii="黑体" w:hAnsi="黑体" w:eastAsia="黑体" w:cs="黑体"/>
          <w:kern w:val="0"/>
          <w:sz w:val="32"/>
          <w:szCs w:val="32"/>
        </w:rPr>
        <w:t>20</w:t>
      </w:r>
      <w:r>
        <w:rPr>
          <w:rFonts w:hint="eastAsia" w:ascii="黑体" w:hAnsi="黑体" w:eastAsia="黑体" w:cs="黑体"/>
          <w:kern w:val="0"/>
          <w:sz w:val="32"/>
          <w:szCs w:val="32"/>
        </w:rPr>
        <w:t>21年度部门预算表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驻马店市退役军人事务局概况</w:t>
      </w:r>
    </w:p>
    <w:p>
      <w:pPr>
        <w:spacing w:line="600" w:lineRule="exact"/>
      </w:pPr>
      <w:r>
        <w:t> </w:t>
      </w:r>
    </w:p>
    <w:p>
      <w:pPr>
        <w:spacing w:line="600" w:lineRule="exact"/>
        <w:ind w:firstLine="640" w:firstLineChars="200"/>
        <w:rPr>
          <w:rFonts w:ascii="仿宋" w:hAnsi="仿宋" w:eastAsia="仿宋"/>
          <w:sz w:val="32"/>
          <w:szCs w:val="32"/>
        </w:rPr>
      </w:pPr>
      <w:r>
        <w:rPr>
          <w:rFonts w:hint="eastAsia" w:ascii="黑体" w:hAnsi="黑体" w:eastAsia="黑体"/>
          <w:sz w:val="32"/>
          <w:szCs w:val="32"/>
        </w:rPr>
        <w:t>一、驻马店市退役军人事务局主要职能</w:t>
      </w:r>
    </w:p>
    <w:p>
      <w:pPr>
        <w:spacing w:line="576" w:lineRule="exact"/>
        <w:rPr>
          <w:rFonts w:ascii="仿宋" w:hAnsi="仿宋" w:eastAsia="仿宋"/>
          <w:sz w:val="32"/>
          <w:szCs w:val="32"/>
        </w:rPr>
      </w:pPr>
      <w:r>
        <w:rPr>
          <w:rFonts w:hint="eastAsia" w:ascii="仿宋" w:hAnsi="仿宋" w:eastAsia="仿宋"/>
          <w:sz w:val="32"/>
          <w:szCs w:val="32"/>
        </w:rPr>
        <w:t xml:space="preserve">    驻马店市退役军人事务局主要职责是履行贯彻落实中央关于退役军人工作的方针政策和决策部署，坚持和加强党对退役军人工作的集中领导等工作职责。具体为：一是贯彻执行党和国家退役军人思想政治、管理保障和安置优抚等法规政策并组织实施，褒扬彰显退役军人为党、国家和人民牺牲奉献的精神风范和价值导向；二是承担市直、中央和省驻驻单位退役军人接收安置具体工作；三是负责全市离退休军人、符合条件的其他退役军人和无军籍退休退职职工的服务保障工作；四是负责全市退役军人就业创业和教育培训工作；五是负责现役军人、退役军人、军队文职人员和军属优待、抚恤等工作；六是组织和指导拥军优属、拥政爱民工作；七是贯彻落实党和国家关于退役军人特殊保障政策，推进退役军人服务保障体系建设。</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二、机构设置及预算单位构成</w:t>
      </w:r>
    </w:p>
    <w:p>
      <w:pPr>
        <w:kinsoku w:val="0"/>
        <w:overflowPunct w:val="0"/>
        <w:autoSpaceDE w:val="0"/>
        <w:autoSpaceDN w:val="0"/>
        <w:adjustRightInd w:val="0"/>
        <w:snapToGrid w:val="0"/>
        <w:spacing w:line="360" w:lineRule="auto"/>
        <w:ind w:left="121" w:right="118" w:firstLine="360"/>
        <w:jc w:val="left"/>
        <w:rPr>
          <w:rFonts w:ascii="仿宋_GB2312" w:hAnsi="宋体" w:eastAsia="仿宋_GB2312" w:cs="Courier New"/>
          <w:kern w:val="0"/>
          <w:sz w:val="32"/>
          <w:szCs w:val="32"/>
        </w:rPr>
      </w:pPr>
      <w:r>
        <w:rPr>
          <w:rFonts w:hint="eastAsia" w:ascii="仿宋_GB2312" w:hAnsi="宋体" w:eastAsia="仿宋_GB2312" w:cs="Courier New"/>
          <w:kern w:val="0"/>
          <w:sz w:val="32"/>
          <w:szCs w:val="32"/>
        </w:rPr>
        <w:t xml:space="preserve">  驻马店市退役军人事务局内设8个职能科室，分别是办公室、权益维护科、退役军人安置科、就业创业科、军休服务管理科、优抚褒扬科、双拥科、机关党委（人事）。</w:t>
      </w:r>
    </w:p>
    <w:p>
      <w:pPr>
        <w:kinsoku w:val="0"/>
        <w:overflowPunct w:val="0"/>
        <w:autoSpaceDE w:val="0"/>
        <w:autoSpaceDN w:val="0"/>
        <w:adjustRightInd w:val="0"/>
        <w:snapToGrid w:val="0"/>
        <w:spacing w:line="360" w:lineRule="auto"/>
        <w:ind w:left="121" w:right="118" w:firstLine="360"/>
        <w:jc w:val="left"/>
        <w:rPr>
          <w:rFonts w:ascii="仿宋_GB2312" w:hAnsi="Times New Roman" w:eastAsia="仿宋_GB2312" w:cs="仿宋_GB2312"/>
          <w:spacing w:val="-1"/>
          <w:kern w:val="0"/>
          <w:sz w:val="32"/>
          <w:szCs w:val="32"/>
        </w:rPr>
      </w:pPr>
      <w:r>
        <w:rPr>
          <w:rFonts w:hint="eastAsia" w:ascii="仿宋_GB2312" w:hAnsi="宋体" w:eastAsia="仿宋_GB2312" w:cs="Courier New"/>
          <w:kern w:val="0"/>
          <w:sz w:val="32"/>
          <w:szCs w:val="32"/>
        </w:rPr>
        <w:t>驻马店市退役军人事务局</w:t>
      </w:r>
      <w:r>
        <w:rPr>
          <w:rFonts w:hint="eastAsia" w:ascii="仿宋_GB2312" w:hAnsi="Times New Roman" w:eastAsia="仿宋_GB2312" w:cs="仿宋_GB2312"/>
          <w:spacing w:val="2"/>
          <w:kern w:val="0"/>
          <w:sz w:val="32"/>
          <w:szCs w:val="32"/>
        </w:rPr>
        <w:t>部门</w:t>
      </w:r>
      <w:r>
        <w:rPr>
          <w:rFonts w:hint="eastAsia" w:ascii="仿宋_GB2312" w:hAnsi="Times New Roman" w:eastAsia="仿宋_GB2312" w:cs="仿宋_GB2312"/>
          <w:kern w:val="0"/>
          <w:sz w:val="32"/>
          <w:szCs w:val="32"/>
        </w:rPr>
        <w:t>预算</w:t>
      </w:r>
      <w:r>
        <w:rPr>
          <w:rFonts w:hint="eastAsia" w:ascii="仿宋_GB2312" w:hAnsi="Times New Roman" w:eastAsia="仿宋_GB2312" w:cs="仿宋_GB2312"/>
          <w:spacing w:val="2"/>
          <w:kern w:val="0"/>
          <w:sz w:val="32"/>
          <w:szCs w:val="32"/>
        </w:rPr>
        <w:t>包括</w:t>
      </w:r>
      <w:r>
        <w:rPr>
          <w:rFonts w:hint="eastAsia" w:ascii="仿宋_GB2312" w:hAnsi="Times New Roman" w:eastAsia="仿宋_GB2312" w:cs="仿宋_GB2312"/>
          <w:kern w:val="0"/>
          <w:sz w:val="32"/>
          <w:szCs w:val="32"/>
        </w:rPr>
        <w:t>局</w:t>
      </w:r>
      <w:r>
        <w:rPr>
          <w:rFonts w:hint="eastAsia" w:ascii="仿宋_GB2312" w:hAnsi="Times New Roman" w:eastAsia="仿宋_GB2312" w:cs="仿宋_GB2312"/>
          <w:spacing w:val="2"/>
          <w:kern w:val="0"/>
          <w:sz w:val="32"/>
          <w:szCs w:val="32"/>
        </w:rPr>
        <w:t>机关本级</w:t>
      </w:r>
      <w:r>
        <w:rPr>
          <w:rFonts w:hint="eastAsia" w:ascii="仿宋_GB2312" w:hAnsi="Times New Roman" w:eastAsia="仿宋_GB2312" w:cs="仿宋_GB2312"/>
          <w:spacing w:val="-1"/>
          <w:kern w:val="0"/>
          <w:sz w:val="32"/>
          <w:szCs w:val="32"/>
        </w:rPr>
        <w:t>预算</w:t>
      </w:r>
      <w:r>
        <w:rPr>
          <w:rFonts w:hint="eastAsia" w:ascii="仿宋_GB2312" w:hAnsi="Times New Roman" w:eastAsia="仿宋_GB2312" w:cs="仿宋_GB2312"/>
          <w:spacing w:val="2"/>
          <w:kern w:val="0"/>
          <w:sz w:val="32"/>
          <w:szCs w:val="32"/>
        </w:rPr>
        <w:t>和局属</w:t>
      </w:r>
      <w:r>
        <w:rPr>
          <w:rFonts w:hint="eastAsia" w:ascii="仿宋_GB2312" w:hAnsi="Times New Roman" w:eastAsia="仿宋_GB2312" w:cs="仿宋_GB2312"/>
          <w:spacing w:val="-1"/>
          <w:kern w:val="0"/>
          <w:sz w:val="32"/>
          <w:szCs w:val="32"/>
        </w:rPr>
        <w:t>单位预算。</w:t>
      </w:r>
    </w:p>
    <w:p>
      <w:pPr>
        <w:kinsoku w:val="0"/>
        <w:overflowPunct w:val="0"/>
        <w:adjustRightInd w:val="0"/>
        <w:snapToGrid w:val="0"/>
        <w:spacing w:line="360" w:lineRule="auto"/>
        <w:ind w:firstLine="300" w:firstLineChars="200"/>
        <w:rPr>
          <w:rFonts w:ascii="Times New Roman" w:hAnsi="Times New Roman" w:eastAsia="仿宋_GB2312"/>
          <w:sz w:val="15"/>
          <w:szCs w:val="15"/>
        </w:rPr>
      </w:pPr>
    </w:p>
    <w:p>
      <w:pPr>
        <w:kinsoku w:val="0"/>
        <w:overflowPunct w:val="0"/>
        <w:autoSpaceDE w:val="0"/>
        <w:autoSpaceDN w:val="0"/>
        <w:adjustRightInd w:val="0"/>
        <w:snapToGrid w:val="0"/>
        <w:spacing w:line="360" w:lineRule="auto"/>
        <w:ind w:firstLine="636" w:firstLineChars="200"/>
        <w:jc w:val="left"/>
        <w:rPr>
          <w:rFonts w:ascii="仿宋_GB2312" w:hAnsi="Times New Roman" w:eastAsia="仿宋_GB2312" w:cs="仿宋_GB2312"/>
          <w:kern w:val="0"/>
          <w:sz w:val="32"/>
          <w:szCs w:val="32"/>
        </w:rPr>
      </w:pPr>
      <w:r>
        <w:rPr>
          <w:rFonts w:ascii="仿宋_GB2312" w:hAnsi="Times New Roman" w:eastAsia="仿宋_GB2312" w:cs="仿宋_GB2312"/>
          <w:spacing w:val="-1"/>
          <w:kern w:val="0"/>
          <w:sz w:val="32"/>
          <w:szCs w:val="32"/>
        </w:rPr>
        <w:t>1</w:t>
      </w:r>
      <w:r>
        <w:rPr>
          <w:rFonts w:hint="eastAsia" w:ascii="仿宋_GB2312" w:hAnsi="Times New Roman" w:eastAsia="仿宋_GB2312" w:cs="仿宋_GB2312"/>
          <w:spacing w:val="-1"/>
          <w:kern w:val="0"/>
          <w:sz w:val="32"/>
          <w:szCs w:val="32"/>
        </w:rPr>
        <w:t>.驻马店市退役军人事务局局本级；</w:t>
      </w:r>
    </w:p>
    <w:p>
      <w:pPr>
        <w:kinsoku w:val="0"/>
        <w:overflowPunct w:val="0"/>
        <w:autoSpaceDE w:val="0"/>
        <w:autoSpaceDN w:val="0"/>
        <w:adjustRightInd w:val="0"/>
        <w:snapToGrid w:val="0"/>
        <w:spacing w:line="360" w:lineRule="auto"/>
        <w:ind w:firstLine="636" w:firstLineChars="200"/>
        <w:jc w:val="left"/>
        <w:rPr>
          <w:rFonts w:ascii="仿宋_GB2312" w:hAnsi="Times New Roman" w:eastAsia="仿宋_GB2312" w:cs="仿宋_GB2312"/>
          <w:spacing w:val="-1"/>
          <w:kern w:val="0"/>
          <w:sz w:val="32"/>
          <w:szCs w:val="32"/>
        </w:rPr>
      </w:pPr>
      <w:r>
        <w:rPr>
          <w:rFonts w:ascii="仿宋_GB2312" w:hAnsi="Times New Roman" w:eastAsia="仿宋_GB2312" w:cs="仿宋_GB2312"/>
          <w:spacing w:val="-1"/>
          <w:kern w:val="0"/>
          <w:sz w:val="32"/>
          <w:szCs w:val="32"/>
        </w:rPr>
        <w:t>2</w:t>
      </w:r>
      <w:r>
        <w:rPr>
          <w:rFonts w:hint="eastAsia" w:ascii="仿宋_GB2312" w:hAnsi="Times New Roman" w:eastAsia="仿宋_GB2312" w:cs="仿宋_GB2312"/>
          <w:spacing w:val="-1"/>
          <w:kern w:val="0"/>
          <w:sz w:val="32"/>
          <w:szCs w:val="32"/>
        </w:rPr>
        <w:t>.驻马店军用饮食供应站；</w:t>
      </w:r>
    </w:p>
    <w:p>
      <w:pPr>
        <w:kinsoku w:val="0"/>
        <w:overflowPunct w:val="0"/>
        <w:autoSpaceDE w:val="0"/>
        <w:autoSpaceDN w:val="0"/>
        <w:adjustRightInd w:val="0"/>
        <w:snapToGrid w:val="0"/>
        <w:spacing w:line="360" w:lineRule="auto"/>
        <w:ind w:firstLine="636" w:firstLineChars="200"/>
        <w:jc w:val="left"/>
        <w:rPr>
          <w:rFonts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rPr>
        <w:t>3.军队离退休干部休养所；</w:t>
      </w:r>
    </w:p>
    <w:p>
      <w:pPr>
        <w:kinsoku w:val="0"/>
        <w:overflowPunct w:val="0"/>
        <w:autoSpaceDE w:val="0"/>
        <w:autoSpaceDN w:val="0"/>
        <w:adjustRightInd w:val="0"/>
        <w:snapToGrid w:val="0"/>
        <w:spacing w:line="360" w:lineRule="auto"/>
        <w:ind w:firstLine="636" w:firstLineChars="200"/>
        <w:jc w:val="left"/>
        <w:rPr>
          <w:rFonts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rPr>
        <w:t>4.驻马店市杨靖宇烈士纪念馆；</w:t>
      </w:r>
    </w:p>
    <w:p>
      <w:pPr>
        <w:kinsoku w:val="0"/>
        <w:overflowPunct w:val="0"/>
        <w:autoSpaceDE w:val="0"/>
        <w:autoSpaceDN w:val="0"/>
        <w:adjustRightInd w:val="0"/>
        <w:snapToGrid w:val="0"/>
        <w:spacing w:line="360" w:lineRule="auto"/>
        <w:ind w:firstLine="636" w:firstLineChars="200"/>
        <w:jc w:val="left"/>
        <w:rPr>
          <w:rFonts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rPr>
        <w:t>5.驻马店市退役军人服务中心；</w:t>
      </w:r>
    </w:p>
    <w:p>
      <w:pPr>
        <w:kinsoku w:val="0"/>
        <w:overflowPunct w:val="0"/>
        <w:autoSpaceDE w:val="0"/>
        <w:autoSpaceDN w:val="0"/>
        <w:adjustRightInd w:val="0"/>
        <w:snapToGrid w:val="0"/>
        <w:spacing w:line="360" w:lineRule="auto"/>
        <w:ind w:firstLine="636" w:firstLineChars="200"/>
        <w:jc w:val="left"/>
        <w:rPr>
          <w:rFonts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rPr>
        <w:t>6.驻马店市转业干部培训中心；</w:t>
      </w:r>
    </w:p>
    <w:p>
      <w:pPr>
        <w:spacing w:line="600" w:lineRule="exact"/>
        <w:ind w:firstLine="640" w:firstLineChars="200"/>
        <w:jc w:val="left"/>
        <w:rPr>
          <w:rFonts w:ascii="仿宋" w:hAnsi="仿宋" w:eastAsia="仿宋" w:cs="仿宋_GB2312"/>
          <w:kern w:val="0"/>
          <w:sz w:val="32"/>
          <w:szCs w:val="32"/>
        </w:rPr>
      </w:pPr>
    </w:p>
    <w:p>
      <w:pPr>
        <w:spacing w:line="600" w:lineRule="exact"/>
        <w:ind w:firstLine="640" w:firstLineChars="200"/>
        <w:rPr>
          <w:rFonts w:ascii="仿宋" w:hAnsi="仿宋" w:eastAsia="仿宋" w:cs="Times New Roman"/>
          <w:kern w:val="0"/>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驻马店市退役军人事务局</w:t>
      </w:r>
      <w:r>
        <w:rPr>
          <w:rFonts w:ascii="黑体" w:hAnsi="黑体" w:eastAsia="黑体" w:cs="黑体"/>
          <w:kern w:val="0"/>
          <w:sz w:val="36"/>
          <w:szCs w:val="36"/>
        </w:rPr>
        <w:t>20</w:t>
      </w:r>
      <w:r>
        <w:rPr>
          <w:rFonts w:hint="eastAsia" w:ascii="黑体" w:hAnsi="黑体" w:eastAsia="黑体" w:cs="黑体"/>
          <w:kern w:val="0"/>
          <w:sz w:val="36"/>
          <w:szCs w:val="36"/>
        </w:rPr>
        <w:t>21年度部门预算情况说明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驻马店市退役军人事务局</w:t>
      </w:r>
      <w:r>
        <w:rPr>
          <w:rFonts w:ascii="仿宋" w:hAnsi="仿宋" w:eastAsia="仿宋" w:cs="仿宋_GB2312"/>
          <w:color w:val="000000"/>
          <w:sz w:val="32"/>
          <w:szCs w:val="32"/>
        </w:rPr>
        <w:t>202</w:t>
      </w:r>
      <w:r>
        <w:rPr>
          <w:rFonts w:hint="eastAsia" w:ascii="仿宋" w:hAnsi="仿宋" w:eastAsia="仿宋" w:cs="仿宋_GB2312"/>
          <w:color w:val="000000"/>
          <w:sz w:val="32"/>
          <w:szCs w:val="32"/>
        </w:rPr>
        <w:t>1年收入总计4615.49万元，支出总计4615.49万元，与</w:t>
      </w:r>
      <w:r>
        <w:rPr>
          <w:rFonts w:ascii="仿宋" w:hAnsi="仿宋" w:eastAsia="仿宋" w:cs="仿宋_GB2312"/>
          <w:color w:val="000000"/>
          <w:sz w:val="32"/>
          <w:szCs w:val="32"/>
        </w:rPr>
        <w:t>20</w:t>
      </w:r>
      <w:r>
        <w:rPr>
          <w:rFonts w:hint="eastAsia" w:ascii="仿宋" w:hAnsi="仿宋" w:eastAsia="仿宋" w:cs="仿宋_GB2312"/>
          <w:color w:val="000000"/>
          <w:sz w:val="32"/>
          <w:szCs w:val="32"/>
        </w:rPr>
        <w:t>20年预算相比，收、支总计各增加1255.59万元，上升/27.2</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Cs/>
          <w:color w:val="000000"/>
          <w:sz w:val="32"/>
          <w:szCs w:val="32"/>
        </w:rPr>
        <w:t>是人员增加基本支出增加271.05万元，上升20.91%；项目增加项目支出增加984.54万元，上升29.66%</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驻马店市退役军人事务局</w:t>
      </w:r>
      <w:r>
        <w:rPr>
          <w:rFonts w:eastAsia="仿宋"/>
          <w:sz w:val="32"/>
          <w:szCs w:val="32"/>
        </w:rPr>
        <w:t>  </w:t>
      </w:r>
      <w:r>
        <w:rPr>
          <w:rFonts w:ascii="仿宋" w:hAnsi="仿宋" w:eastAsia="仿宋"/>
          <w:sz w:val="32"/>
          <w:szCs w:val="32"/>
        </w:rPr>
        <w:t>202</w:t>
      </w:r>
      <w:r>
        <w:rPr>
          <w:rFonts w:hint="eastAsia" w:ascii="仿宋" w:hAnsi="仿宋" w:eastAsia="仿宋"/>
          <w:sz w:val="32"/>
          <w:szCs w:val="32"/>
        </w:rPr>
        <w:t>1年收入合计4615.49万元。其中：一般公共预算收入2047.29万元。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rPr>
          <w:rFonts w:ascii="仿宋" w:hAnsi="仿宋" w:eastAsia="仿宋"/>
          <w:sz w:val="32"/>
          <w:szCs w:val="32"/>
        </w:rPr>
      </w:pPr>
      <w:r>
        <w:rPr>
          <w:rFonts w:hint="eastAsia" w:ascii="仿宋" w:hAnsi="仿宋" w:eastAsia="仿宋"/>
          <w:sz w:val="32"/>
          <w:szCs w:val="32"/>
        </w:rPr>
        <w:t xml:space="preserve">     驻马店市退役军人事务局</w:t>
      </w:r>
      <w:r>
        <w:rPr>
          <w:rFonts w:ascii="仿宋" w:hAnsi="仿宋" w:eastAsia="仿宋"/>
          <w:sz w:val="32"/>
          <w:szCs w:val="32"/>
        </w:rPr>
        <w:t>202</w:t>
      </w:r>
      <w:r>
        <w:rPr>
          <w:rFonts w:hint="eastAsia" w:ascii="仿宋" w:hAnsi="仿宋" w:eastAsia="仿宋"/>
          <w:sz w:val="32"/>
          <w:szCs w:val="32"/>
        </w:rPr>
        <w:t>1年支出合计4615.49万元，其中：基本支出1296.09万元，占28.08</w:t>
      </w:r>
      <w:r>
        <w:rPr>
          <w:rFonts w:ascii="仿宋" w:hAnsi="仿宋" w:eastAsia="仿宋"/>
          <w:sz w:val="32"/>
          <w:szCs w:val="32"/>
        </w:rPr>
        <w:t>%</w:t>
      </w:r>
      <w:r>
        <w:rPr>
          <w:rFonts w:hint="eastAsia" w:ascii="仿宋" w:hAnsi="仿宋" w:eastAsia="仿宋"/>
          <w:sz w:val="32"/>
          <w:szCs w:val="32"/>
        </w:rPr>
        <w:t>；项目支出3319.4万元，占71.92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 xml:space="preserve"> 驻马店市退役军人事务局</w:t>
      </w:r>
      <w:r>
        <w:rPr>
          <w:rFonts w:ascii="仿宋" w:hAnsi="仿宋" w:eastAsia="仿宋" w:cs="仿宋_GB2312"/>
          <w:sz w:val="32"/>
          <w:szCs w:val="32"/>
        </w:rPr>
        <w:t>202</w:t>
      </w:r>
      <w:r>
        <w:rPr>
          <w:rFonts w:hint="eastAsia" w:ascii="仿宋" w:hAnsi="仿宋" w:eastAsia="仿宋" w:cs="仿宋_GB2312"/>
          <w:sz w:val="32"/>
          <w:szCs w:val="32"/>
        </w:rPr>
        <w:t>1</w:t>
      </w:r>
      <w:r>
        <w:rPr>
          <w:rFonts w:hint="eastAsia" w:ascii="仿宋" w:hAnsi="仿宋" w:eastAsia="仿宋" w:cs="仿宋_GB2312"/>
          <w:color w:val="000000"/>
          <w:sz w:val="32"/>
          <w:szCs w:val="32"/>
        </w:rPr>
        <w:t>年一般公共预算收支预算2047.29万元。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20年相比，一般公共预算收支预算增加475.19万元，上升23.21</w:t>
      </w:r>
      <w:r>
        <w:rPr>
          <w:rFonts w:ascii="仿宋" w:hAnsi="仿宋" w:eastAsia="仿宋"/>
          <w:sz w:val="32"/>
          <w:szCs w:val="32"/>
        </w:rPr>
        <w:t>%</w:t>
      </w:r>
      <w:r>
        <w:rPr>
          <w:rFonts w:hint="eastAsia" w:ascii="仿宋" w:hAnsi="仿宋" w:eastAsia="仿宋"/>
          <w:sz w:val="32"/>
          <w:szCs w:val="32"/>
        </w:rPr>
        <w:t>。主要原因是人员增加基本支出增加271.05万元，上升57.04%。项目增加项目支出增加204.14万元，上升42.96%。</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333333"/>
          <w:sz w:val="32"/>
          <w:szCs w:val="32"/>
        </w:rPr>
        <w:t>驻马店市退役军人事务局</w:t>
      </w:r>
      <w:r>
        <w:rPr>
          <w:rFonts w:ascii="仿宋" w:hAnsi="仿宋" w:eastAsia="仿宋" w:cs="仿宋_GB2312"/>
          <w:color w:val="333333"/>
          <w:sz w:val="32"/>
          <w:szCs w:val="32"/>
        </w:rPr>
        <w:t>202</w:t>
      </w:r>
      <w:r>
        <w:rPr>
          <w:rFonts w:hint="eastAsia" w:ascii="仿宋" w:hAnsi="仿宋" w:eastAsia="仿宋" w:cs="仿宋_GB2312"/>
          <w:color w:val="333333"/>
          <w:sz w:val="32"/>
          <w:szCs w:val="32"/>
        </w:rPr>
        <w:t>1年一般公共预算支出年初预算为</w:t>
      </w:r>
      <w:r>
        <w:rPr>
          <w:rFonts w:hint="eastAsia" w:ascii="仿宋" w:hAnsi="仿宋" w:eastAsia="仿宋" w:cs="仿宋_GB2312"/>
          <w:color w:val="000000"/>
          <w:sz w:val="32"/>
          <w:szCs w:val="32"/>
        </w:rPr>
        <w:t>2047.29万元。主要用于以下方面：一般公共服务（类）支出  0 万元，占0</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 1897.48  万元，占92.69</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；卫生健康支出88.28万元，占4.31</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；住房保障支出61.53万元，占3</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2021年一般公共预算基本支出1296.09万元，其中：人员经费1209.31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86.78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val="en-US"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rPr>
        <w:t>1年“三公”经费预算为4.2万元。2021年“三公”经费支出预算数比</w:t>
      </w:r>
      <w:r>
        <w:rPr>
          <w:rFonts w:ascii="仿宋" w:hAnsi="仿宋" w:eastAsia="仿宋"/>
          <w:sz w:val="32"/>
          <w:szCs w:val="32"/>
        </w:rPr>
        <w:t>2</w:t>
      </w:r>
      <w:r>
        <w:rPr>
          <w:rFonts w:hint="eastAsia" w:ascii="仿宋" w:hAnsi="仿宋" w:eastAsia="仿宋"/>
          <w:sz w:val="32"/>
          <w:szCs w:val="32"/>
        </w:rPr>
        <w:t>020年减少31.76万元，下降756.19</w:t>
      </w:r>
      <w:r>
        <w:rPr>
          <w:rFonts w:ascii="仿宋" w:hAnsi="仿宋" w:eastAsia="仿宋"/>
          <w:sz w:val="32"/>
          <w:szCs w:val="32"/>
        </w:rPr>
        <w:t>%</w:t>
      </w:r>
      <w:r>
        <w:rPr>
          <w:rFonts w:hint="eastAsia" w:ascii="仿宋" w:hAnsi="仿宋" w:eastAsia="仿宋"/>
          <w:sz w:val="32"/>
          <w:szCs w:val="32"/>
        </w:rPr>
        <w:t xml:space="preserve">。主要原因是市财政局在2020年下拨两辆公务用车购置经费35.96万元。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费0万元，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rPr>
        <w:t>1年没有安排因公出国（境）费</w:t>
      </w:r>
      <w:bookmarkStart w:id="0" w:name="_GoBack"/>
      <w:bookmarkEnd w:id="0"/>
      <w:r>
        <w:rPr>
          <w:rFonts w:hint="eastAsia" w:ascii="仿宋" w:hAnsi="仿宋" w:eastAsia="仿宋"/>
          <w:sz w:val="32"/>
          <w:szCs w:val="32"/>
        </w:rPr>
        <w:t>用的收入和支出预算。预算数与</w:t>
      </w:r>
      <w:r>
        <w:rPr>
          <w:rFonts w:ascii="仿宋" w:hAnsi="仿宋" w:eastAsia="仿宋"/>
          <w:sz w:val="32"/>
          <w:szCs w:val="32"/>
        </w:rPr>
        <w:t>20</w:t>
      </w:r>
      <w:r>
        <w:rPr>
          <w:rFonts w:hint="eastAsia" w:ascii="仿宋" w:hAnsi="仿宋" w:eastAsia="仿宋"/>
          <w:sz w:val="32"/>
          <w:szCs w:val="32"/>
        </w:rPr>
        <w:t>20年持平。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（二）公务用车购置及运行费4.2万元</w:t>
      </w:r>
      <w:r>
        <w:rPr>
          <w:rFonts w:hint="eastAsia" w:ascii="仿宋" w:hAnsi="仿宋" w:eastAsia="仿宋"/>
          <w:sz w:val="32"/>
          <w:szCs w:val="32"/>
        </w:rPr>
        <w:t>，主要用于开展工作所需公务用车的燃料费、维修费、过路过桥费、保险费、安全奖励费用等支出。其中公务用车购置费预算0万元，比2020年减少34.96万元，下降了756.19</w:t>
      </w:r>
      <w:r>
        <w:rPr>
          <w:rFonts w:ascii="仿宋" w:hAnsi="仿宋" w:eastAsia="仿宋"/>
          <w:sz w:val="32"/>
          <w:szCs w:val="32"/>
        </w:rPr>
        <w:t>%</w:t>
      </w:r>
      <w:r>
        <w:rPr>
          <w:rFonts w:hint="eastAsia" w:ascii="仿宋" w:hAnsi="仿宋" w:eastAsia="仿宋"/>
          <w:sz w:val="32"/>
          <w:szCs w:val="32"/>
        </w:rPr>
        <w:t>。主要原因是。公务用车购置费减少为35.96万元，运行维护费预算增加为1万元，运行维护费增加原因是车辆增加，运行维护费增加。</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（三）公务接待费0万元，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rPr>
        <w:t>20年减少0万元，下降了0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驻马店市退役军人事务局</w:t>
      </w:r>
      <w:r>
        <w:rPr>
          <w:rFonts w:ascii="仿宋" w:hAnsi="仿宋" w:eastAsia="仿宋"/>
          <w:sz w:val="32"/>
          <w:szCs w:val="32"/>
        </w:rPr>
        <w:t>202</w:t>
      </w:r>
      <w:r>
        <w:rPr>
          <w:rFonts w:hint="eastAsia" w:ascii="仿宋" w:hAnsi="仿宋" w:eastAsia="仿宋"/>
          <w:sz w:val="32"/>
          <w:szCs w:val="32"/>
        </w:rPr>
        <w:t>1年机关运行经费支出预算为29.7万元，主要保障机构正常运转及政策履职需要。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1年政府采购预算安排440.23万元，其中：政府采购货物预算145万元，政府采购服务预算295.23万元。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2021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20年期末，我局共有车辆7辆，其中：一般公务用车7辆、一般执法执勤用车0辆、其他用车0辆，其他用车主要是机要通信用车0辆、应急车辆0辆、老干部用车0辆；单价</w:t>
      </w:r>
      <w:r>
        <w:rPr>
          <w:rFonts w:ascii="仿宋" w:hAnsi="仿宋" w:eastAsia="仿宋"/>
          <w:sz w:val="32"/>
          <w:szCs w:val="32"/>
        </w:rPr>
        <w:t>50</w:t>
      </w:r>
      <w:r>
        <w:rPr>
          <w:rFonts w:hint="eastAsia" w:ascii="仿宋" w:hAnsi="仿宋" w:eastAsia="仿宋"/>
          <w:sz w:val="32"/>
          <w:szCs w:val="32"/>
        </w:rPr>
        <w:t>万元以上通用设备0套，单位价值</w:t>
      </w:r>
      <w:r>
        <w:rPr>
          <w:rFonts w:ascii="仿宋" w:hAnsi="仿宋" w:eastAsia="仿宋"/>
          <w:sz w:val="32"/>
          <w:szCs w:val="32"/>
        </w:rPr>
        <w:t>100</w:t>
      </w:r>
      <w:r>
        <w:rPr>
          <w:rFonts w:hint="eastAsia" w:ascii="仿宋" w:hAnsi="仿宋" w:eastAsia="仿宋"/>
          <w:sz w:val="32"/>
          <w:szCs w:val="32"/>
        </w:rPr>
        <w:t>万元以上专用设备0套。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2021年我局负责参与管理的专项转移支付项目资金为2562.6万元。主要是军队退休离休干部人员经费。</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驻马店市退役军人事务局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22D95"/>
    <w:multiLevelType w:val="singleLevel"/>
    <w:tmpl w:val="B8822D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97134"/>
    <w:rsid w:val="000A57D3"/>
    <w:rsid w:val="000A793C"/>
    <w:rsid w:val="000B2C71"/>
    <w:rsid w:val="000C7C93"/>
    <w:rsid w:val="000D2EF0"/>
    <w:rsid w:val="000E1E98"/>
    <w:rsid w:val="000F00F0"/>
    <w:rsid w:val="000F07CF"/>
    <w:rsid w:val="00103B01"/>
    <w:rsid w:val="00130D39"/>
    <w:rsid w:val="00132510"/>
    <w:rsid w:val="00135319"/>
    <w:rsid w:val="00147D6E"/>
    <w:rsid w:val="00157DC9"/>
    <w:rsid w:val="00164490"/>
    <w:rsid w:val="0016485B"/>
    <w:rsid w:val="00174BB7"/>
    <w:rsid w:val="00197F39"/>
    <w:rsid w:val="001D3474"/>
    <w:rsid w:val="001F0097"/>
    <w:rsid w:val="001F0DC7"/>
    <w:rsid w:val="001F3EA8"/>
    <w:rsid w:val="00267A52"/>
    <w:rsid w:val="00277F07"/>
    <w:rsid w:val="00281F39"/>
    <w:rsid w:val="00282C62"/>
    <w:rsid w:val="002A186E"/>
    <w:rsid w:val="002A5C59"/>
    <w:rsid w:val="002C3B2A"/>
    <w:rsid w:val="002C63F2"/>
    <w:rsid w:val="002E2491"/>
    <w:rsid w:val="00313C25"/>
    <w:rsid w:val="00321C62"/>
    <w:rsid w:val="00322205"/>
    <w:rsid w:val="00327C52"/>
    <w:rsid w:val="003462C6"/>
    <w:rsid w:val="00357CD3"/>
    <w:rsid w:val="0036405E"/>
    <w:rsid w:val="00380842"/>
    <w:rsid w:val="00394026"/>
    <w:rsid w:val="003B307C"/>
    <w:rsid w:val="003D2251"/>
    <w:rsid w:val="003D4DA1"/>
    <w:rsid w:val="003F281A"/>
    <w:rsid w:val="003F6FA5"/>
    <w:rsid w:val="00402A63"/>
    <w:rsid w:val="004059A2"/>
    <w:rsid w:val="00413874"/>
    <w:rsid w:val="0041494C"/>
    <w:rsid w:val="004244CB"/>
    <w:rsid w:val="00425830"/>
    <w:rsid w:val="004357A9"/>
    <w:rsid w:val="004402A9"/>
    <w:rsid w:val="00440E08"/>
    <w:rsid w:val="0044221E"/>
    <w:rsid w:val="00445854"/>
    <w:rsid w:val="00450A75"/>
    <w:rsid w:val="004523F4"/>
    <w:rsid w:val="00475A3F"/>
    <w:rsid w:val="00485E69"/>
    <w:rsid w:val="004864D9"/>
    <w:rsid w:val="00486CF5"/>
    <w:rsid w:val="00495029"/>
    <w:rsid w:val="004B1C7F"/>
    <w:rsid w:val="004B2AB1"/>
    <w:rsid w:val="004B5AC1"/>
    <w:rsid w:val="004C1FF9"/>
    <w:rsid w:val="004D3E72"/>
    <w:rsid w:val="00517F70"/>
    <w:rsid w:val="00520079"/>
    <w:rsid w:val="00520C68"/>
    <w:rsid w:val="005458CE"/>
    <w:rsid w:val="00547FA8"/>
    <w:rsid w:val="0055683C"/>
    <w:rsid w:val="005653F6"/>
    <w:rsid w:val="00574E19"/>
    <w:rsid w:val="00593ACE"/>
    <w:rsid w:val="00594B0A"/>
    <w:rsid w:val="005A7D02"/>
    <w:rsid w:val="005B57D4"/>
    <w:rsid w:val="005C73B8"/>
    <w:rsid w:val="00624C7A"/>
    <w:rsid w:val="00624DA0"/>
    <w:rsid w:val="00655743"/>
    <w:rsid w:val="00660C03"/>
    <w:rsid w:val="00676BA6"/>
    <w:rsid w:val="00691BF3"/>
    <w:rsid w:val="00691D56"/>
    <w:rsid w:val="00697E78"/>
    <w:rsid w:val="006A220B"/>
    <w:rsid w:val="006B3606"/>
    <w:rsid w:val="006B3FE3"/>
    <w:rsid w:val="006D246E"/>
    <w:rsid w:val="00700239"/>
    <w:rsid w:val="00700B9A"/>
    <w:rsid w:val="007136D4"/>
    <w:rsid w:val="00737C3B"/>
    <w:rsid w:val="00755247"/>
    <w:rsid w:val="0076118A"/>
    <w:rsid w:val="00791B9D"/>
    <w:rsid w:val="007922C8"/>
    <w:rsid w:val="007A040A"/>
    <w:rsid w:val="007B4386"/>
    <w:rsid w:val="007D4A49"/>
    <w:rsid w:val="007D7A4A"/>
    <w:rsid w:val="007E0369"/>
    <w:rsid w:val="007E0AAF"/>
    <w:rsid w:val="007E6EE0"/>
    <w:rsid w:val="00804982"/>
    <w:rsid w:val="00813F92"/>
    <w:rsid w:val="0082109A"/>
    <w:rsid w:val="0086203B"/>
    <w:rsid w:val="0087679C"/>
    <w:rsid w:val="008803FE"/>
    <w:rsid w:val="00882505"/>
    <w:rsid w:val="008A14DB"/>
    <w:rsid w:val="008A2A42"/>
    <w:rsid w:val="008B58F3"/>
    <w:rsid w:val="008B63CD"/>
    <w:rsid w:val="008C6D08"/>
    <w:rsid w:val="008D03C5"/>
    <w:rsid w:val="008D1B9C"/>
    <w:rsid w:val="008D5A65"/>
    <w:rsid w:val="008E7B95"/>
    <w:rsid w:val="008F0447"/>
    <w:rsid w:val="008F3BA6"/>
    <w:rsid w:val="00912829"/>
    <w:rsid w:val="00914D64"/>
    <w:rsid w:val="00926A33"/>
    <w:rsid w:val="00934C89"/>
    <w:rsid w:val="009507BF"/>
    <w:rsid w:val="009574C3"/>
    <w:rsid w:val="00965F4F"/>
    <w:rsid w:val="0097753A"/>
    <w:rsid w:val="00987F87"/>
    <w:rsid w:val="0099182F"/>
    <w:rsid w:val="009B17AE"/>
    <w:rsid w:val="009B1DCD"/>
    <w:rsid w:val="009C14E6"/>
    <w:rsid w:val="009F1034"/>
    <w:rsid w:val="00A0087B"/>
    <w:rsid w:val="00A0547F"/>
    <w:rsid w:val="00A05FFD"/>
    <w:rsid w:val="00A111CB"/>
    <w:rsid w:val="00A24D2E"/>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C5F52"/>
    <w:rsid w:val="00BF3E2E"/>
    <w:rsid w:val="00C05FD2"/>
    <w:rsid w:val="00C1216D"/>
    <w:rsid w:val="00C16BCC"/>
    <w:rsid w:val="00C24430"/>
    <w:rsid w:val="00C32353"/>
    <w:rsid w:val="00C324EE"/>
    <w:rsid w:val="00C42770"/>
    <w:rsid w:val="00C46EC8"/>
    <w:rsid w:val="00C51104"/>
    <w:rsid w:val="00C547E8"/>
    <w:rsid w:val="00C555BA"/>
    <w:rsid w:val="00C822B5"/>
    <w:rsid w:val="00C84D92"/>
    <w:rsid w:val="00C9592A"/>
    <w:rsid w:val="00C961DC"/>
    <w:rsid w:val="00C97DB5"/>
    <w:rsid w:val="00CB5205"/>
    <w:rsid w:val="00CC09A9"/>
    <w:rsid w:val="00CF06D4"/>
    <w:rsid w:val="00CF3AF6"/>
    <w:rsid w:val="00D06F40"/>
    <w:rsid w:val="00D1533C"/>
    <w:rsid w:val="00D15D6A"/>
    <w:rsid w:val="00D1724E"/>
    <w:rsid w:val="00D263AD"/>
    <w:rsid w:val="00D32AF5"/>
    <w:rsid w:val="00D43271"/>
    <w:rsid w:val="00D66752"/>
    <w:rsid w:val="00DA746A"/>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A6F3A"/>
    <w:rsid w:val="00EB1647"/>
    <w:rsid w:val="00ED0313"/>
    <w:rsid w:val="00EF00AC"/>
    <w:rsid w:val="00EF0A3A"/>
    <w:rsid w:val="00EF156C"/>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0FE1BBF"/>
    <w:rsid w:val="03B42563"/>
    <w:rsid w:val="15807232"/>
    <w:rsid w:val="1E114F52"/>
    <w:rsid w:val="1EFB577C"/>
    <w:rsid w:val="34787E99"/>
    <w:rsid w:val="37922290"/>
    <w:rsid w:val="4B30282F"/>
    <w:rsid w:val="61C7563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3494</Words>
  <Characters>3809</Characters>
  <Lines>28</Lines>
  <Paragraphs>7</Paragraphs>
  <TotalTime>1526</TotalTime>
  <ScaleCrop>false</ScaleCrop>
  <LinksUpToDate>false</LinksUpToDate>
  <CharactersWithSpaces>3837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admin</cp:lastModifiedBy>
  <cp:lastPrinted>2018-03-22T04:03:00Z</cp:lastPrinted>
  <dcterms:modified xsi:type="dcterms:W3CDTF">2022-09-02T09:54:55Z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A261E278137C4FA2A2B10AD56526630C</vt:lpwstr>
  </property>
</Properties>
</file>