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2022年驻马店市政务服务和大数据管理局</w:t>
      </w:r>
    </w:p>
    <w:p>
      <w:pPr>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部门预算说明</w:t>
      </w:r>
    </w:p>
    <w:p>
      <w:pPr>
        <w:widowControl/>
        <w:spacing w:line="600" w:lineRule="exact"/>
        <w:ind w:firstLine="480"/>
        <w:jc w:val="center"/>
        <w:rPr>
          <w:rFonts w:ascii="仿宋" w:hAnsi="仿宋" w:eastAsia="仿宋" w:cs="Times New Roman"/>
          <w:b/>
          <w:bCs/>
          <w:kern w:val="0"/>
          <w:sz w:val="32"/>
          <w:szCs w:val="32"/>
        </w:rPr>
      </w:pPr>
    </w:p>
    <w:p>
      <w:pPr>
        <w:widowControl/>
        <w:spacing w:line="600" w:lineRule="exact"/>
        <w:ind w:firstLine="480"/>
        <w:jc w:val="center"/>
        <w:rPr>
          <w:rFonts w:ascii="宋体" w:cs="Times New Roman"/>
          <w:b/>
          <w:bCs/>
          <w:kern w:val="0"/>
          <w:sz w:val="52"/>
          <w:szCs w:val="52"/>
        </w:rPr>
      </w:pPr>
      <w:r>
        <w:rPr>
          <w:rFonts w:hint="eastAsia" w:ascii="宋体" w:hAnsi="宋体" w:cs="宋体"/>
          <w:b/>
          <w:bCs/>
          <w:kern w:val="0"/>
          <w:sz w:val="52"/>
          <w:szCs w:val="52"/>
        </w:rPr>
        <w:t>目录</w:t>
      </w:r>
    </w:p>
    <w:p>
      <w:pPr>
        <w:widowControl/>
        <w:spacing w:line="600" w:lineRule="exact"/>
        <w:ind w:firstLine="627" w:firstLineChars="196"/>
        <w:rPr>
          <w:rFonts w:ascii="黑体" w:hAnsi="黑体" w:eastAsia="黑体" w:cs="Times New Roman"/>
          <w:kern w:val="0"/>
          <w:sz w:val="32"/>
          <w:szCs w:val="32"/>
        </w:rPr>
      </w:pPr>
      <w:r>
        <w:rPr>
          <w:rFonts w:hint="eastAsia" w:ascii="黑体" w:hAnsi="黑体" w:eastAsia="黑体" w:cs="黑体"/>
          <w:kern w:val="0"/>
          <w:sz w:val="32"/>
          <w:szCs w:val="32"/>
        </w:rPr>
        <w:t>第一部分驻马店市政务服务和大数据管理局概况</w:t>
      </w:r>
    </w:p>
    <w:p>
      <w:pPr>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一、主要职能</w:t>
      </w:r>
    </w:p>
    <w:p>
      <w:pPr>
        <w:spacing w:line="600" w:lineRule="exact"/>
        <w:ind w:firstLine="640" w:firstLineChars="200"/>
        <w:jc w:val="left"/>
        <w:rPr>
          <w:rFonts w:ascii="仿宋" w:hAnsi="仿宋" w:eastAsia="仿宋" w:cs="Times New Roman"/>
          <w:kern w:val="0"/>
          <w:sz w:val="32"/>
          <w:szCs w:val="32"/>
        </w:rPr>
      </w:pPr>
      <w:r>
        <w:rPr>
          <w:rFonts w:hint="eastAsia" w:ascii="仿宋" w:hAnsi="仿宋" w:eastAsia="仿宋" w:cs="仿宋_GB2312"/>
          <w:kern w:val="0"/>
          <w:sz w:val="32"/>
          <w:szCs w:val="32"/>
        </w:rPr>
        <w:t>二、机构设置及预算单位构成</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第二部分驻马店市政务服务和大数据管理局2022年度部门预算情况说明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五、一般公共预算支出预算情况说明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六、一般公共预算基本支出预算情况说明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七、政府性基金预算支出预算情况说明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九、其他重要事项的情况说明</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第三部分名词解释</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附件：驻马店市政务服务和大数据管理局2022年度部门预算表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一、部门收支总体预算表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二、部门收入总体预算表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三、部门支出总体预算表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四、财政拨款收支总体预算表</w:t>
      </w:r>
    </w:p>
    <w:p>
      <w:pPr>
        <w:widowControl/>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五、一般公共预算支出预算表</w:t>
      </w:r>
    </w:p>
    <w:p>
      <w:pPr>
        <w:widowControl/>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六、一般公共预算基本支出表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七、支出经济分类汇总表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八、一般公共预算“三公”经费预算表</w:t>
      </w:r>
    </w:p>
    <w:p>
      <w:pPr>
        <w:widowControl/>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九、政府性基金预算支出预算表</w:t>
      </w:r>
    </w:p>
    <w:p>
      <w:pPr>
        <w:widowControl/>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十、项目支出预算表</w:t>
      </w:r>
    </w:p>
    <w:p>
      <w:pPr>
        <w:widowControl/>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十一、市级部门（单位）整体绩效目标表</w:t>
      </w:r>
    </w:p>
    <w:p>
      <w:pPr>
        <w:widowControl/>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十二、市级部门预算项目绩效目标汇总表</w:t>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jc w:val="center"/>
        <w:rPr>
          <w:rFonts w:ascii="黑体" w:hAnsi="黑体" w:eastAsia="黑体"/>
          <w:sz w:val="36"/>
          <w:szCs w:val="36"/>
        </w:rPr>
      </w:pPr>
      <w:r>
        <w:rPr>
          <w:rFonts w:hint="eastAsia" w:ascii="黑体" w:hAnsi="黑体" w:eastAsia="黑体"/>
          <w:sz w:val="36"/>
          <w:szCs w:val="36"/>
        </w:rPr>
        <w:t>第一部分</w:t>
      </w:r>
    </w:p>
    <w:p>
      <w:pPr>
        <w:spacing w:line="600" w:lineRule="exact"/>
        <w:jc w:val="center"/>
        <w:rPr>
          <w:rFonts w:ascii="黑体" w:hAnsi="黑体" w:eastAsia="黑体"/>
          <w:sz w:val="36"/>
          <w:szCs w:val="36"/>
        </w:rPr>
      </w:pPr>
      <w:r>
        <w:rPr>
          <w:rFonts w:hint="eastAsia" w:ascii="黑体" w:hAnsi="黑体" w:eastAsia="黑体"/>
          <w:sz w:val="36"/>
          <w:szCs w:val="36"/>
        </w:rPr>
        <w:t>驻马店市政务服务和大数据管理局概况</w:t>
      </w:r>
    </w:p>
    <w:p>
      <w:pPr>
        <w:spacing w:line="600" w:lineRule="exact"/>
      </w:pPr>
      <w:r>
        <w:t>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一、驻马店市政务服务和大数据管理局主要职能</w:t>
      </w:r>
    </w:p>
    <w:p>
      <w:pPr>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根据《中共驻马店市委市政府关于印发&lt;驻马店政务服务和大数据管理局职能配置内设机构和人员编制规定&gt;的通知》(驻办文[2019]34号)文件规定，驻马店市政务服务和大数据管理局为市政府组成部门，主要职责是：</w:t>
      </w:r>
    </w:p>
    <w:p>
      <w:pPr>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（1）组织起草全市政务服务和政务信息化、数据管理相关政策，并组织实施。</w:t>
      </w:r>
    </w:p>
    <w:p>
      <w:pPr>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（2）统筹推进全市“数字政府”建设，拟订建设规划和年度建设计划，并组织实施。</w:t>
      </w:r>
    </w:p>
    <w:p>
      <w:pPr>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（3）统筹推进全市政务服务和数据管理体系建设，指导全市政务服务和数据管理机构开展工作。</w:t>
      </w:r>
    </w:p>
    <w:p>
      <w:pPr>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（4）统筹推进全市“一网通办”前提下“最多跑一次”改革。</w:t>
      </w:r>
    </w:p>
    <w:p>
      <w:pPr>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（5）统筹市级政务信息系统建设规划，提出项目建设具体意见。</w:t>
      </w:r>
    </w:p>
    <w:p>
      <w:pPr>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（6） 统筹管理政务云平台、政务服务平台和电子政务网络。</w:t>
      </w:r>
    </w:p>
    <w:p>
      <w:pPr>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7）负责统筹推进全市政务服务体系建设。负责统筹管理市政务服务大厅工作，协调各进驻部门之间、办事窗口与进驻部门之间的工作。组织协调全市政务服务环境优化和评价工作，负责市级政务服务质量的监督管理。</w:t>
      </w:r>
    </w:p>
    <w:p>
      <w:pPr>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（8）负责全市行政审批改革、审批服务便民化相关工作，负责全市政务服务事项目录管理和标准化建设。</w:t>
      </w:r>
    </w:p>
    <w:p>
      <w:pPr>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（9）统筹全市数据资源管理和建设工作。组织推动大数据研究、开发、应用和对外交流合作。协调服务大数据产业发展。</w:t>
      </w:r>
    </w:p>
    <w:p>
      <w:pPr>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（10）统筹全市电子政务基础设施、信息系统、数据资源等安全保障工作，负责“数字政府”平台安全技术和运营体系建设，监督管理市级政务信息网络系统和数据库安全。</w:t>
      </w:r>
    </w:p>
    <w:p>
      <w:pPr>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（11）负责政务服务、政务信息化、大数据相关知识的宣传普及。承担大数据人才队伍建设，开展对外合作交流。</w:t>
      </w:r>
    </w:p>
    <w:p>
      <w:pPr>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（12）统筹新型智慧城市创建工作。</w:t>
      </w:r>
    </w:p>
    <w:p>
      <w:pPr>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（13）完成市委、市政府交办的其他任务。</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二、驻马店市政务服务和大数据管理局机构设置及预算单位构成</w:t>
      </w:r>
    </w:p>
    <w:p>
      <w:pPr>
        <w:widowControl/>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驻马店市政务服务和大数据管理局部门预算包括局机关本级预算和局属单位预算。</w:t>
      </w:r>
    </w:p>
    <w:p>
      <w:pPr>
        <w:widowControl/>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1.驻马店市政务服务和大数据管理局机关本级，内设6个职能科室，分别为：办公室、电子政务科、数据管理科、政务服务科、审批改革协调科、智慧城市建设科；</w:t>
      </w:r>
    </w:p>
    <w:p>
      <w:pPr>
        <w:widowControl/>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2.驻马店市行政服务中心，内设7个职能科室，分别为：综合科、信息科、效能监察科、政务环境科、代办服务科（协调科）、网络科、直工委；</w:t>
      </w:r>
    </w:p>
    <w:p>
      <w:pPr>
        <w:widowControl/>
        <w:spacing w:line="600" w:lineRule="exact"/>
        <w:ind w:firstLine="640" w:firstLineChars="200"/>
        <w:rPr>
          <w:rFonts w:ascii="华文仿宋" w:hAnsi="华文仿宋" w:eastAsia="华文仿宋" w:cs="Times New Roman"/>
          <w:kern w:val="0"/>
          <w:sz w:val="32"/>
          <w:szCs w:val="32"/>
        </w:rPr>
      </w:pPr>
      <w:r>
        <w:rPr>
          <w:rFonts w:ascii="仿宋" w:hAnsi="仿宋" w:eastAsia="仿宋" w:cs="仿宋_GB2312"/>
          <w:sz w:val="32"/>
          <w:szCs w:val="32"/>
        </w:rPr>
        <w:t>3.</w:t>
      </w:r>
      <w:r>
        <w:rPr>
          <w:rFonts w:hint="eastAsia" w:ascii="仿宋" w:hAnsi="仿宋" w:eastAsia="仿宋" w:cs="仿宋_GB2312"/>
          <w:sz w:val="32"/>
          <w:szCs w:val="32"/>
        </w:rPr>
        <w:t>驻马店市大数据中心，内设</w:t>
      </w:r>
      <w:r>
        <w:rPr>
          <w:rFonts w:ascii="仿宋" w:hAnsi="仿宋" w:eastAsia="仿宋" w:cs="仿宋_GB2312"/>
          <w:sz w:val="32"/>
          <w:szCs w:val="32"/>
        </w:rPr>
        <w:t>4</w:t>
      </w:r>
      <w:r>
        <w:rPr>
          <w:rFonts w:hint="eastAsia" w:ascii="仿宋" w:hAnsi="仿宋" w:eastAsia="仿宋" w:cs="仿宋_GB2312"/>
          <w:sz w:val="32"/>
          <w:szCs w:val="32"/>
        </w:rPr>
        <w:t>个部门，分别是综合部（智慧城市创建协调服务部）、数据资源部、平台运行维护部、数据安全部（数据分析利用部）；</w:t>
      </w:r>
      <w:r>
        <w:rPr>
          <w:rFonts w:ascii="仿宋" w:hAnsi="仿宋" w:eastAsia="仿宋" w:cs="仿宋_GB2312"/>
          <w:sz w:val="32"/>
          <w:szCs w:val="32"/>
        </w:rPr>
        <w:t> </w:t>
      </w: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jc w:val="left"/>
        <w:rPr>
          <w:rFonts w:ascii="黑体" w:hAnsi="黑体" w:eastAsia="黑体" w:cs="黑体"/>
          <w:kern w:val="0"/>
          <w:sz w:val="36"/>
          <w:szCs w:val="36"/>
        </w:rPr>
      </w:pPr>
      <w:r>
        <w:rPr>
          <w:rFonts w:ascii="黑体" w:hAnsi="黑体" w:eastAsia="黑体" w:cs="黑体"/>
          <w:kern w:val="0"/>
          <w:sz w:val="36"/>
          <w:szCs w:val="36"/>
        </w:rPr>
        <w:br w:type="page"/>
      </w: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rPr>
        <w:t>第二部分</w:t>
      </w:r>
    </w:p>
    <w:p>
      <w:pPr>
        <w:widowControl/>
        <w:spacing w:line="600" w:lineRule="exact"/>
        <w:jc w:val="center"/>
        <w:rPr>
          <w:rFonts w:ascii="黑体" w:hAnsi="黑体" w:eastAsia="黑体" w:cs="黑体"/>
          <w:kern w:val="0"/>
          <w:sz w:val="36"/>
          <w:szCs w:val="36"/>
        </w:rPr>
      </w:pPr>
      <w:r>
        <w:rPr>
          <w:rFonts w:hint="eastAsia" w:ascii="黑体" w:hAnsi="黑体" w:eastAsia="黑体" w:cs="黑体"/>
          <w:kern w:val="0"/>
          <w:sz w:val="36"/>
          <w:szCs w:val="36"/>
        </w:rPr>
        <w:t>驻马店市政务服务和大数据管理局</w:t>
      </w: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rPr>
        <w:t>2022年度部门预算情况说明</w:t>
      </w:r>
    </w:p>
    <w:p>
      <w:pPr>
        <w:spacing w:line="600" w:lineRule="exact"/>
        <w:rPr>
          <w:rFonts w:ascii="黑体" w:hAnsi="黑体" w:eastAsia="黑体"/>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一、收入支出预算总体情况说明</w:t>
      </w:r>
    </w:p>
    <w:p>
      <w:pPr>
        <w:spacing w:line="600" w:lineRule="exact"/>
        <w:ind w:firstLine="640" w:firstLineChars="200"/>
        <w:rPr>
          <w:rFonts w:ascii="仿宋" w:hAnsi="仿宋" w:eastAsia="仿宋" w:cs="Times New Roman"/>
          <w:sz w:val="32"/>
          <w:szCs w:val="32"/>
        </w:rPr>
      </w:pPr>
      <w:r>
        <w:rPr>
          <w:rFonts w:ascii="华文仿宋" w:hAnsi="华文仿宋" w:eastAsia="仿宋" w:cs="Times New Roman"/>
          <w:sz w:val="32"/>
          <w:szCs w:val="32"/>
        </w:rPr>
        <w:t> </w:t>
      </w:r>
      <w:r>
        <w:rPr>
          <w:rFonts w:hint="eastAsia" w:ascii="仿宋" w:hAnsi="仿宋" w:eastAsia="仿宋" w:cs="仿宋_GB2312"/>
          <w:sz w:val="32"/>
          <w:szCs w:val="32"/>
        </w:rPr>
        <w:t>驻马店市政务服务和大数据管理局</w:t>
      </w:r>
      <w:r>
        <w:rPr>
          <w:rFonts w:hint="eastAsia" w:ascii="仿宋" w:hAnsi="仿宋" w:eastAsia="仿宋" w:cs="仿宋_GB2312"/>
          <w:color w:val="000000"/>
          <w:sz w:val="32"/>
          <w:szCs w:val="32"/>
        </w:rPr>
        <w:t>2022年收入总计4</w:t>
      </w:r>
      <w:r>
        <w:rPr>
          <w:rFonts w:ascii="仿宋" w:hAnsi="仿宋" w:eastAsia="仿宋" w:cs="仿宋_GB2312"/>
          <w:color w:val="000000"/>
          <w:sz w:val="32"/>
          <w:szCs w:val="32"/>
        </w:rPr>
        <w:t>273.1</w:t>
      </w:r>
      <w:r>
        <w:rPr>
          <w:rFonts w:hint="eastAsia" w:ascii="仿宋" w:hAnsi="仿宋" w:eastAsia="仿宋" w:cs="仿宋_GB2312"/>
          <w:color w:val="000000"/>
          <w:sz w:val="32"/>
          <w:szCs w:val="32"/>
        </w:rPr>
        <w:t>万元，支出总计</w:t>
      </w:r>
      <w:r>
        <w:rPr>
          <w:rFonts w:ascii="仿宋" w:hAnsi="仿宋" w:eastAsia="仿宋" w:cs="仿宋_GB2312"/>
          <w:color w:val="000000"/>
          <w:sz w:val="32"/>
          <w:szCs w:val="32"/>
        </w:rPr>
        <w:t>4273.1</w:t>
      </w:r>
      <w:r>
        <w:rPr>
          <w:rFonts w:hint="eastAsia" w:ascii="仿宋" w:hAnsi="仿宋" w:eastAsia="仿宋" w:cs="仿宋_GB2312"/>
          <w:color w:val="000000"/>
          <w:sz w:val="32"/>
          <w:szCs w:val="32"/>
        </w:rPr>
        <w:t>万元，与2021年预算相比，收、支总计各增加</w:t>
      </w:r>
      <w:r>
        <w:rPr>
          <w:rFonts w:ascii="仿宋" w:hAnsi="仿宋" w:eastAsia="仿宋" w:cs="仿宋_GB2312"/>
          <w:color w:val="000000"/>
          <w:sz w:val="32"/>
          <w:szCs w:val="32"/>
        </w:rPr>
        <w:t>5.82</w:t>
      </w:r>
      <w:r>
        <w:rPr>
          <w:rFonts w:hint="eastAsia" w:ascii="仿宋" w:hAnsi="仿宋" w:eastAsia="仿宋" w:cs="仿宋_GB2312"/>
          <w:color w:val="000000"/>
          <w:sz w:val="32"/>
          <w:szCs w:val="32"/>
        </w:rPr>
        <w:t>万元，上升</w:t>
      </w:r>
      <w:r>
        <w:rPr>
          <w:rFonts w:ascii="仿宋" w:hAnsi="仿宋" w:eastAsia="仿宋" w:cs="仿宋_GB2312"/>
          <w:color w:val="000000"/>
          <w:sz w:val="32"/>
          <w:szCs w:val="32"/>
        </w:rPr>
        <w:t>0.13%</w:t>
      </w:r>
      <w:r>
        <w:rPr>
          <w:rFonts w:hint="eastAsia" w:ascii="仿宋" w:hAnsi="仿宋" w:eastAsia="仿宋" w:cs="仿宋_GB2312"/>
          <w:color w:val="000000"/>
          <w:sz w:val="32"/>
          <w:szCs w:val="32"/>
        </w:rPr>
        <w:t>。主要原因</w:t>
      </w:r>
      <w:r>
        <w:rPr>
          <w:rFonts w:hint="eastAsia" w:ascii="仿宋" w:hAnsi="仿宋" w:eastAsia="仿宋" w:cs="仿宋_GB2312"/>
          <w:b/>
          <w:bCs/>
          <w:color w:val="000000"/>
          <w:sz w:val="32"/>
          <w:szCs w:val="32"/>
        </w:rPr>
        <w:t>是全市信息化项目的统一归口管理</w:t>
      </w:r>
      <w:r>
        <w:rPr>
          <w:rFonts w:hint="eastAsia" w:ascii="仿宋" w:hAnsi="仿宋" w:eastAsia="仿宋" w:cs="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驻马店市政务服务和大数据管理局</w:t>
      </w:r>
      <w:r>
        <w:rPr>
          <w:rFonts w:eastAsia="仿宋"/>
          <w:sz w:val="32"/>
          <w:szCs w:val="32"/>
        </w:rPr>
        <w:t>  </w:t>
      </w:r>
      <w:r>
        <w:rPr>
          <w:rFonts w:hint="eastAsia" w:ascii="仿宋" w:hAnsi="仿宋" w:eastAsia="仿宋"/>
          <w:sz w:val="32"/>
          <w:szCs w:val="32"/>
        </w:rPr>
        <w:t>2022年收入合计</w:t>
      </w:r>
      <w:r>
        <w:rPr>
          <w:rFonts w:ascii="仿宋" w:hAnsi="仿宋" w:eastAsia="仿宋"/>
          <w:sz w:val="32"/>
          <w:szCs w:val="32"/>
        </w:rPr>
        <w:t>4273.1</w:t>
      </w:r>
      <w:r>
        <w:rPr>
          <w:rFonts w:hint="eastAsia" w:ascii="仿宋" w:hAnsi="仿宋" w:eastAsia="仿宋"/>
          <w:sz w:val="32"/>
          <w:szCs w:val="32"/>
        </w:rPr>
        <w:t>万元。其中：一般公共预算收入</w:t>
      </w:r>
      <w:r>
        <w:rPr>
          <w:rFonts w:ascii="仿宋" w:hAnsi="仿宋" w:eastAsia="仿宋"/>
          <w:sz w:val="32"/>
          <w:szCs w:val="32"/>
        </w:rPr>
        <w:t>4273.1</w:t>
      </w:r>
      <w:r>
        <w:rPr>
          <w:rFonts w:hint="eastAsia" w:ascii="仿宋" w:hAnsi="仿宋" w:eastAsia="仿宋"/>
          <w:sz w:val="32"/>
          <w:szCs w:val="32"/>
        </w:rPr>
        <w:t>万元。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驻马店市政务服务和大数据管理局2022年支出合计</w:t>
      </w:r>
      <w:r>
        <w:rPr>
          <w:rFonts w:ascii="仿宋" w:hAnsi="仿宋" w:eastAsia="仿宋"/>
          <w:sz w:val="32"/>
          <w:szCs w:val="32"/>
        </w:rPr>
        <w:t>4273.1</w:t>
      </w:r>
      <w:r>
        <w:rPr>
          <w:rFonts w:hint="eastAsia" w:ascii="仿宋" w:hAnsi="仿宋" w:eastAsia="仿宋"/>
          <w:sz w:val="32"/>
          <w:szCs w:val="32"/>
        </w:rPr>
        <w:t>万元，其中：基本支出</w:t>
      </w:r>
      <w:r>
        <w:rPr>
          <w:rFonts w:ascii="仿宋" w:hAnsi="仿宋" w:eastAsia="仿宋"/>
          <w:sz w:val="32"/>
          <w:szCs w:val="32"/>
        </w:rPr>
        <w:t>598.4</w:t>
      </w:r>
      <w:r>
        <w:rPr>
          <w:rFonts w:hint="eastAsia" w:ascii="仿宋" w:hAnsi="仿宋" w:eastAsia="仿宋"/>
          <w:sz w:val="32"/>
          <w:szCs w:val="32"/>
        </w:rPr>
        <w:t>万元，占</w:t>
      </w:r>
      <w:r>
        <w:rPr>
          <w:rFonts w:ascii="仿宋" w:hAnsi="仿宋" w:eastAsia="仿宋"/>
          <w:sz w:val="32"/>
          <w:szCs w:val="32"/>
        </w:rPr>
        <w:t>14%</w:t>
      </w:r>
      <w:r>
        <w:rPr>
          <w:rFonts w:hint="eastAsia" w:ascii="仿宋" w:hAnsi="仿宋" w:eastAsia="仿宋"/>
          <w:sz w:val="32"/>
          <w:szCs w:val="32"/>
        </w:rPr>
        <w:t>；项目支出</w:t>
      </w:r>
      <w:r>
        <w:rPr>
          <w:rFonts w:ascii="仿宋" w:hAnsi="仿宋" w:eastAsia="仿宋"/>
          <w:sz w:val="32"/>
          <w:szCs w:val="32"/>
        </w:rPr>
        <w:t>3674.4</w:t>
      </w:r>
      <w:r>
        <w:rPr>
          <w:rFonts w:hint="eastAsia" w:ascii="仿宋" w:hAnsi="仿宋" w:eastAsia="仿宋"/>
          <w:sz w:val="32"/>
          <w:szCs w:val="32"/>
        </w:rPr>
        <w:t>万元，占</w:t>
      </w:r>
      <w:r>
        <w:rPr>
          <w:rFonts w:ascii="仿宋" w:hAnsi="仿宋" w:eastAsia="仿宋"/>
          <w:sz w:val="32"/>
          <w:szCs w:val="32"/>
        </w:rPr>
        <w:t>86%</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四、财政拨款收入支出预算总体情况说明</w:t>
      </w:r>
    </w:p>
    <w:p>
      <w:pPr>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驻马店市政务服务和大数据管理局2022</w:t>
      </w:r>
      <w:r>
        <w:rPr>
          <w:rFonts w:hint="eastAsia" w:ascii="仿宋" w:hAnsi="仿宋" w:eastAsia="仿宋" w:cs="仿宋_GB2312"/>
          <w:color w:val="000000"/>
          <w:sz w:val="32"/>
          <w:szCs w:val="32"/>
        </w:rPr>
        <w:t>年一般公共预算收支预算</w:t>
      </w:r>
      <w:r>
        <w:rPr>
          <w:rFonts w:ascii="仿宋" w:hAnsi="仿宋" w:eastAsia="仿宋" w:cs="仿宋_GB2312"/>
          <w:color w:val="000000"/>
          <w:sz w:val="32"/>
          <w:szCs w:val="32"/>
        </w:rPr>
        <w:t>4273.1</w:t>
      </w:r>
      <w:r>
        <w:rPr>
          <w:rFonts w:hint="eastAsia" w:ascii="仿宋" w:hAnsi="仿宋" w:eastAsia="仿宋" w:cs="仿宋_GB2312"/>
          <w:color w:val="000000"/>
          <w:sz w:val="32"/>
          <w:szCs w:val="32"/>
        </w:rPr>
        <w:t>万元。</w:t>
      </w:r>
      <w:r>
        <w:rPr>
          <w:rFonts w:hint="eastAsia" w:ascii="仿宋" w:hAnsi="仿宋" w:eastAsia="仿宋"/>
          <w:sz w:val="32"/>
          <w:szCs w:val="32"/>
        </w:rPr>
        <w:t>与2021年相比，一般公共预算收支预算增加</w:t>
      </w:r>
      <w:r>
        <w:rPr>
          <w:rFonts w:ascii="仿宋" w:hAnsi="仿宋" w:eastAsia="仿宋"/>
          <w:sz w:val="32"/>
          <w:szCs w:val="32"/>
        </w:rPr>
        <w:t>5.82</w:t>
      </w:r>
      <w:r>
        <w:rPr>
          <w:rFonts w:hint="eastAsia" w:ascii="仿宋" w:hAnsi="仿宋" w:eastAsia="仿宋"/>
          <w:sz w:val="32"/>
          <w:szCs w:val="32"/>
        </w:rPr>
        <w:t>万元，上升</w:t>
      </w:r>
      <w:r>
        <w:rPr>
          <w:rFonts w:ascii="仿宋" w:hAnsi="仿宋" w:eastAsia="仿宋"/>
          <w:sz w:val="32"/>
          <w:szCs w:val="32"/>
        </w:rPr>
        <w:t>0.13%</w:t>
      </w:r>
      <w:r>
        <w:rPr>
          <w:rFonts w:hint="eastAsia" w:ascii="仿宋" w:hAnsi="仿宋" w:eastAsia="仿宋"/>
          <w:sz w:val="32"/>
          <w:szCs w:val="32"/>
        </w:rPr>
        <w:t>。主要原因</w:t>
      </w:r>
      <w:r>
        <w:rPr>
          <w:rFonts w:hint="eastAsia" w:ascii="仿宋" w:hAnsi="仿宋" w:eastAsia="仿宋" w:cs="仿宋_GB2312"/>
          <w:b/>
          <w:bCs/>
          <w:color w:val="000000"/>
          <w:sz w:val="32"/>
          <w:szCs w:val="32"/>
        </w:rPr>
        <w:t>是全市信息化项目的统一归口管理</w:t>
      </w:r>
      <w:r>
        <w:rPr>
          <w:rFonts w:hint="eastAsia" w:ascii="仿宋" w:hAnsi="仿宋" w:eastAsia="仿宋" w:cs="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五、一般公共预算支出预算情况说明</w:t>
      </w:r>
    </w:p>
    <w:p>
      <w:pPr>
        <w:spacing w:line="600" w:lineRule="exact"/>
        <w:ind w:firstLine="640" w:firstLineChars="200"/>
        <w:jc w:val="left"/>
        <w:rPr>
          <w:rFonts w:ascii="仿宋" w:hAnsi="仿宋" w:eastAsia="仿宋" w:cs="Times New Roman"/>
          <w:color w:val="000000"/>
          <w:sz w:val="32"/>
          <w:szCs w:val="32"/>
        </w:rPr>
      </w:pPr>
      <w:r>
        <w:rPr>
          <w:rFonts w:hint="eastAsia" w:ascii="仿宋" w:hAnsi="仿宋" w:eastAsia="仿宋" w:cs="仿宋_GB2312"/>
          <w:color w:val="333333"/>
          <w:sz w:val="32"/>
          <w:szCs w:val="32"/>
        </w:rPr>
        <w:t>驻马店市政务服务和大数据管理局2022年一般公共预算支出年初预算为4</w:t>
      </w:r>
      <w:r>
        <w:rPr>
          <w:rFonts w:ascii="仿宋" w:hAnsi="仿宋" w:eastAsia="仿宋" w:cs="仿宋_GB2312"/>
          <w:color w:val="000000"/>
          <w:sz w:val="32"/>
          <w:szCs w:val="32"/>
        </w:rPr>
        <w:t>273.1</w:t>
      </w:r>
      <w:r>
        <w:rPr>
          <w:rFonts w:hint="eastAsia" w:ascii="仿宋" w:hAnsi="仿宋" w:eastAsia="仿宋" w:cs="仿宋_GB2312"/>
          <w:color w:val="000000"/>
          <w:sz w:val="32"/>
          <w:szCs w:val="32"/>
        </w:rPr>
        <w:t>万元。主要用于以下方面：一般公共服务（类）支出</w:t>
      </w:r>
      <w:r>
        <w:rPr>
          <w:rFonts w:ascii="仿宋" w:hAnsi="仿宋" w:eastAsia="仿宋" w:cs="仿宋_GB2312"/>
          <w:color w:val="000000"/>
          <w:sz w:val="32"/>
          <w:szCs w:val="32"/>
        </w:rPr>
        <w:t>4167.4</w:t>
      </w:r>
      <w:r>
        <w:rPr>
          <w:rFonts w:hint="eastAsia" w:ascii="仿宋" w:hAnsi="仿宋" w:eastAsia="仿宋" w:cs="仿宋_GB2312"/>
          <w:color w:val="000000"/>
          <w:sz w:val="32"/>
          <w:szCs w:val="32"/>
        </w:rPr>
        <w:t>万元，占</w:t>
      </w:r>
      <w:r>
        <w:rPr>
          <w:rFonts w:ascii="仿宋" w:hAnsi="仿宋" w:eastAsia="仿宋" w:cs="仿宋_GB2312"/>
          <w:color w:val="000000"/>
          <w:sz w:val="32"/>
          <w:szCs w:val="32"/>
        </w:rPr>
        <w:t>97.53%</w:t>
      </w:r>
      <w:r>
        <w:rPr>
          <w:rFonts w:hint="eastAsia" w:ascii="仿宋" w:hAnsi="仿宋" w:eastAsia="仿宋" w:cs="仿宋_GB2312"/>
          <w:color w:val="000000"/>
          <w:sz w:val="32"/>
          <w:szCs w:val="32"/>
        </w:rPr>
        <w:t>；社会保障和就业支出</w:t>
      </w:r>
      <w:r>
        <w:rPr>
          <w:rFonts w:ascii="仿宋" w:hAnsi="仿宋" w:eastAsia="仿宋" w:cs="仿宋_GB2312"/>
          <w:color w:val="000000"/>
          <w:sz w:val="32"/>
          <w:szCs w:val="32"/>
        </w:rPr>
        <w:t>51.1</w:t>
      </w:r>
      <w:r>
        <w:rPr>
          <w:rFonts w:hint="eastAsia" w:ascii="仿宋" w:hAnsi="仿宋" w:eastAsia="仿宋" w:cs="仿宋_GB2312"/>
          <w:color w:val="000000"/>
          <w:sz w:val="32"/>
          <w:szCs w:val="32"/>
        </w:rPr>
        <w:t>万元，占</w:t>
      </w:r>
      <w:r>
        <w:rPr>
          <w:rFonts w:ascii="仿宋" w:hAnsi="仿宋" w:eastAsia="仿宋" w:cs="仿宋_GB2312"/>
          <w:color w:val="000000"/>
          <w:sz w:val="32"/>
          <w:szCs w:val="32"/>
        </w:rPr>
        <w:t>1.2%</w:t>
      </w:r>
      <w:r>
        <w:rPr>
          <w:rFonts w:hint="eastAsia" w:ascii="仿宋" w:hAnsi="仿宋" w:eastAsia="仿宋" w:cs="仿宋_GB2312"/>
          <w:color w:val="000000"/>
          <w:sz w:val="32"/>
          <w:szCs w:val="32"/>
        </w:rPr>
        <w:t>；卫生健康支出</w:t>
      </w:r>
      <w:r>
        <w:rPr>
          <w:rFonts w:ascii="仿宋" w:hAnsi="仿宋" w:eastAsia="仿宋" w:cs="仿宋_GB2312"/>
          <w:color w:val="000000"/>
          <w:sz w:val="32"/>
          <w:szCs w:val="32"/>
        </w:rPr>
        <w:t>25.6</w:t>
      </w:r>
      <w:r>
        <w:rPr>
          <w:rFonts w:hint="eastAsia" w:ascii="仿宋" w:hAnsi="仿宋" w:eastAsia="仿宋" w:cs="仿宋_GB2312"/>
          <w:color w:val="000000"/>
          <w:sz w:val="32"/>
          <w:szCs w:val="32"/>
        </w:rPr>
        <w:t>万元，占</w:t>
      </w:r>
      <w:r>
        <w:rPr>
          <w:rFonts w:ascii="仿宋" w:hAnsi="仿宋" w:eastAsia="仿宋" w:cs="仿宋_GB2312"/>
          <w:color w:val="000000"/>
          <w:sz w:val="32"/>
          <w:szCs w:val="32"/>
        </w:rPr>
        <w:t>0.6%</w:t>
      </w:r>
      <w:r>
        <w:rPr>
          <w:rFonts w:hint="eastAsia" w:ascii="仿宋" w:hAnsi="仿宋" w:eastAsia="仿宋" w:cs="仿宋_GB2312"/>
          <w:color w:val="000000"/>
          <w:sz w:val="32"/>
          <w:szCs w:val="32"/>
        </w:rPr>
        <w:t>；住房保障支出</w:t>
      </w:r>
      <w:r>
        <w:rPr>
          <w:rFonts w:ascii="仿宋" w:hAnsi="仿宋" w:eastAsia="仿宋" w:cs="仿宋_GB2312"/>
          <w:color w:val="000000"/>
          <w:sz w:val="32"/>
          <w:szCs w:val="32"/>
        </w:rPr>
        <w:t>28.9</w:t>
      </w:r>
      <w:r>
        <w:rPr>
          <w:rFonts w:hint="eastAsia" w:ascii="仿宋" w:hAnsi="仿宋" w:eastAsia="仿宋" w:cs="仿宋_GB2312"/>
          <w:color w:val="000000"/>
          <w:sz w:val="32"/>
          <w:szCs w:val="32"/>
        </w:rPr>
        <w:t>万元，占</w:t>
      </w:r>
      <w:r>
        <w:rPr>
          <w:rFonts w:ascii="仿宋" w:hAnsi="仿宋" w:eastAsia="仿宋" w:cs="仿宋_GB2312"/>
          <w:color w:val="000000"/>
          <w:sz w:val="32"/>
          <w:szCs w:val="32"/>
        </w:rPr>
        <w:t>0.68%</w:t>
      </w:r>
      <w:r>
        <w:rPr>
          <w:rFonts w:hint="eastAsia" w:ascii="仿宋" w:hAnsi="仿宋" w:eastAsia="仿宋" w:cs="仿宋_GB2312"/>
          <w:color w:val="000000"/>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六、一般公共预算基本支出预算情况说明和支出预算经济分类情况说明</w:t>
      </w:r>
    </w:p>
    <w:p>
      <w:pPr>
        <w:spacing w:line="600" w:lineRule="exact"/>
        <w:ind w:firstLine="640" w:firstLineChars="200"/>
        <w:rPr>
          <w:rFonts w:ascii="黑体" w:hAnsi="黑体" w:eastAsia="黑体"/>
          <w:sz w:val="32"/>
          <w:szCs w:val="32"/>
        </w:rPr>
      </w:pPr>
      <w:r>
        <w:rPr>
          <w:rFonts w:hint="eastAsia" w:eastAsia="仿宋"/>
          <w:sz w:val="32"/>
          <w:szCs w:val="32"/>
        </w:rPr>
        <w:t> </w:t>
      </w:r>
      <w:r>
        <w:rPr>
          <w:rFonts w:hint="eastAsia" w:ascii="仿宋" w:hAnsi="仿宋" w:eastAsia="仿宋"/>
          <w:sz w:val="32"/>
          <w:szCs w:val="32"/>
        </w:rPr>
        <w:t>2022年一般公共预算基本支出</w:t>
      </w:r>
      <w:r>
        <w:rPr>
          <w:rFonts w:ascii="仿宋" w:hAnsi="仿宋" w:eastAsia="仿宋"/>
          <w:sz w:val="32"/>
          <w:szCs w:val="32"/>
        </w:rPr>
        <w:t>598.4</w:t>
      </w:r>
      <w:r>
        <w:rPr>
          <w:rFonts w:hint="eastAsia" w:ascii="仿宋" w:hAnsi="仿宋" w:eastAsia="仿宋"/>
          <w:sz w:val="32"/>
          <w:szCs w:val="32"/>
        </w:rPr>
        <w:t>万元，其中：人员经费</w:t>
      </w:r>
      <w:r>
        <w:rPr>
          <w:rFonts w:ascii="仿宋" w:hAnsi="仿宋" w:eastAsia="仿宋"/>
          <w:sz w:val="32"/>
          <w:szCs w:val="32"/>
        </w:rPr>
        <w:t>536.9</w:t>
      </w:r>
      <w:r>
        <w:rPr>
          <w:rFonts w:hint="eastAsia" w:ascii="仿宋" w:hAnsi="仿宋" w:eastAsia="仿宋"/>
          <w:sz w:val="32"/>
          <w:szCs w:val="32"/>
        </w:rPr>
        <w:t>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w:t>
      </w:r>
      <w:r>
        <w:rPr>
          <w:rFonts w:ascii="仿宋" w:hAnsi="仿宋" w:eastAsia="仿宋"/>
          <w:sz w:val="32"/>
          <w:szCs w:val="32"/>
        </w:rPr>
        <w:t>61.5</w:t>
      </w:r>
      <w:r>
        <w:rPr>
          <w:rFonts w:hint="eastAsia" w:ascii="仿宋" w:hAnsi="仿宋" w:eastAsia="仿宋"/>
          <w:sz w:val="32"/>
          <w:szCs w:val="32"/>
        </w:rPr>
        <w:t>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七、政府性基金预算支出预算情况说明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我局2022年无使用政府性基金预算拨款安排的支出。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我局2022年“三公”经费预算为</w:t>
      </w:r>
      <w:r>
        <w:rPr>
          <w:rFonts w:ascii="仿宋" w:hAnsi="仿宋" w:eastAsia="仿宋"/>
          <w:sz w:val="32"/>
          <w:szCs w:val="32"/>
        </w:rPr>
        <w:t>3.7</w:t>
      </w:r>
      <w:r>
        <w:rPr>
          <w:rFonts w:hint="eastAsia" w:ascii="仿宋" w:hAnsi="仿宋" w:eastAsia="仿宋"/>
          <w:sz w:val="32"/>
          <w:szCs w:val="32"/>
        </w:rPr>
        <w:t>万元。2022年“三公”经费支出预算数比2021年增加1</w:t>
      </w:r>
      <w:r>
        <w:rPr>
          <w:rFonts w:ascii="仿宋" w:hAnsi="仿宋" w:eastAsia="仿宋"/>
          <w:sz w:val="32"/>
          <w:szCs w:val="32"/>
        </w:rPr>
        <w:t>.3</w:t>
      </w:r>
      <w:r>
        <w:rPr>
          <w:rFonts w:hint="eastAsia" w:ascii="仿宋" w:hAnsi="仿宋" w:eastAsia="仿宋"/>
          <w:sz w:val="32"/>
          <w:szCs w:val="32"/>
        </w:rPr>
        <w:t>万元，增加了5</w:t>
      </w:r>
      <w:r>
        <w:rPr>
          <w:rFonts w:ascii="仿宋" w:hAnsi="仿宋" w:eastAsia="仿宋"/>
          <w:sz w:val="32"/>
          <w:szCs w:val="32"/>
        </w:rPr>
        <w:t>4.17%</w:t>
      </w:r>
      <w:r>
        <w:rPr>
          <w:rFonts w:hint="eastAsia" w:ascii="仿宋" w:hAnsi="仿宋" w:eastAsia="仿宋"/>
          <w:sz w:val="32"/>
          <w:szCs w:val="32"/>
        </w:rPr>
        <w:t xml:space="preserve">。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具体支出情况如下：</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（一）因公出国</w:t>
      </w:r>
      <w:r>
        <w:rPr>
          <w:rFonts w:ascii="仿宋" w:hAnsi="仿宋" w:eastAsia="仿宋"/>
          <w:b/>
          <w:sz w:val="32"/>
          <w:szCs w:val="32"/>
        </w:rPr>
        <w:t>(</w:t>
      </w:r>
      <w:r>
        <w:rPr>
          <w:rFonts w:hint="eastAsia" w:ascii="仿宋" w:hAnsi="仿宋" w:eastAsia="仿宋"/>
          <w:b/>
          <w:sz w:val="32"/>
          <w:szCs w:val="32"/>
        </w:rPr>
        <w:t>境</w:t>
      </w:r>
      <w:r>
        <w:rPr>
          <w:rFonts w:ascii="仿宋" w:hAnsi="仿宋" w:eastAsia="仿宋"/>
          <w:b/>
          <w:sz w:val="32"/>
          <w:szCs w:val="32"/>
        </w:rPr>
        <w:t>)</w:t>
      </w:r>
      <w:r>
        <w:rPr>
          <w:rFonts w:hint="eastAsia" w:ascii="仿宋" w:hAnsi="仿宋" w:eastAsia="仿宋"/>
          <w:b/>
          <w:sz w:val="32"/>
          <w:szCs w:val="32"/>
        </w:rPr>
        <w:t>费</w:t>
      </w:r>
      <w:r>
        <w:rPr>
          <w:rFonts w:ascii="仿宋" w:hAnsi="仿宋" w:eastAsia="仿宋"/>
          <w:b/>
          <w:sz w:val="32"/>
          <w:szCs w:val="32"/>
        </w:rPr>
        <w:t>0</w:t>
      </w:r>
      <w:r>
        <w:rPr>
          <w:rFonts w:hint="eastAsia" w:ascii="仿宋" w:hAnsi="仿宋" w:eastAsia="仿宋"/>
          <w:b/>
          <w:sz w:val="32"/>
          <w:szCs w:val="32"/>
        </w:rPr>
        <w:t>万元，</w:t>
      </w:r>
      <w:r>
        <w:rPr>
          <w:rFonts w:hint="eastAsia" w:ascii="仿宋" w:hAnsi="仿宋" w:eastAsia="仿宋"/>
          <w:sz w:val="32"/>
          <w:szCs w:val="32"/>
        </w:rPr>
        <w:t>主要用于单位工作人员公务出国（境）的住宿费、旅费、伙食补助费、杂费、培训费等支出。我局2022年没有安排因公出国（境）费用的收入和支出预算。预算数与2021年持平。主要原因是我部门没有出国（境）业务需要。</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（二）公务用车购置及运行费</w:t>
      </w:r>
      <w:r>
        <w:rPr>
          <w:rFonts w:ascii="仿宋" w:hAnsi="仿宋" w:eastAsia="仿宋"/>
          <w:b/>
          <w:sz w:val="32"/>
          <w:szCs w:val="32"/>
        </w:rPr>
        <w:t>2.4</w:t>
      </w:r>
      <w:r>
        <w:rPr>
          <w:rFonts w:hint="eastAsia" w:ascii="仿宋" w:hAnsi="仿宋" w:eastAsia="仿宋"/>
          <w:b/>
          <w:sz w:val="32"/>
          <w:szCs w:val="32"/>
        </w:rPr>
        <w:t>万元</w:t>
      </w:r>
      <w:r>
        <w:rPr>
          <w:rFonts w:hint="eastAsia" w:ascii="仿宋" w:hAnsi="仿宋" w:eastAsia="仿宋"/>
          <w:sz w:val="32"/>
          <w:szCs w:val="32"/>
        </w:rPr>
        <w:t>，主要用于开展工作所需公务用车的燃料费、维修费、过路过桥费、保险费、安全奖励费用等支出。其中公务用车购置费预算</w:t>
      </w:r>
      <w:r>
        <w:rPr>
          <w:rFonts w:ascii="仿宋" w:hAnsi="仿宋" w:eastAsia="仿宋"/>
          <w:sz w:val="32"/>
          <w:szCs w:val="32"/>
        </w:rPr>
        <w:t>0</w:t>
      </w:r>
      <w:r>
        <w:rPr>
          <w:rFonts w:hint="eastAsia" w:ascii="仿宋" w:hAnsi="仿宋" w:eastAsia="仿宋"/>
          <w:sz w:val="32"/>
          <w:szCs w:val="32"/>
        </w:rPr>
        <w:t>万元，主要原因是2</w:t>
      </w:r>
      <w:r>
        <w:rPr>
          <w:rFonts w:ascii="仿宋" w:hAnsi="仿宋" w:eastAsia="仿宋"/>
          <w:sz w:val="32"/>
          <w:szCs w:val="32"/>
        </w:rPr>
        <w:t>021</w:t>
      </w:r>
      <w:r>
        <w:rPr>
          <w:rFonts w:hint="eastAsia" w:ascii="仿宋" w:hAnsi="仿宋" w:eastAsia="仿宋"/>
          <w:sz w:val="32"/>
          <w:szCs w:val="32"/>
        </w:rPr>
        <w:t>年购车经费已结转到2</w:t>
      </w:r>
      <w:r>
        <w:rPr>
          <w:rFonts w:ascii="仿宋" w:hAnsi="仿宋" w:eastAsia="仿宋"/>
          <w:sz w:val="32"/>
          <w:szCs w:val="32"/>
        </w:rPr>
        <w:t>022</w:t>
      </w:r>
      <w:r>
        <w:rPr>
          <w:rFonts w:hint="eastAsia" w:ascii="仿宋" w:hAnsi="仿宋" w:eastAsia="仿宋"/>
          <w:sz w:val="32"/>
          <w:szCs w:val="32"/>
        </w:rPr>
        <w:t>年。公务用车运行维护费预算为</w:t>
      </w:r>
      <w:r>
        <w:rPr>
          <w:rFonts w:ascii="仿宋" w:hAnsi="仿宋" w:eastAsia="仿宋"/>
          <w:sz w:val="32"/>
          <w:szCs w:val="32"/>
        </w:rPr>
        <w:t>2.4</w:t>
      </w:r>
      <w:r>
        <w:rPr>
          <w:rFonts w:hint="eastAsia" w:ascii="仿宋" w:hAnsi="仿宋" w:eastAsia="仿宋"/>
          <w:sz w:val="32"/>
          <w:szCs w:val="32"/>
        </w:rPr>
        <w:t>万元，与2021年持平，主要原因是车辆编制未增加。</w:t>
      </w:r>
    </w:p>
    <w:p>
      <w:pPr>
        <w:spacing w:line="600" w:lineRule="exact"/>
        <w:ind w:firstLine="643" w:firstLineChars="200"/>
        <w:rPr>
          <w:rFonts w:ascii="仿宋" w:hAnsi="仿宋" w:eastAsia="仿宋" w:cs="Times New Roman"/>
          <w:sz w:val="32"/>
          <w:szCs w:val="32"/>
        </w:rPr>
      </w:pPr>
      <w:r>
        <w:rPr>
          <w:rFonts w:hint="eastAsia" w:ascii="仿宋" w:hAnsi="仿宋" w:eastAsia="仿宋"/>
          <w:b/>
          <w:sz w:val="32"/>
          <w:szCs w:val="32"/>
        </w:rPr>
        <w:t>（三）公务接待费</w:t>
      </w:r>
      <w:r>
        <w:rPr>
          <w:rFonts w:ascii="仿宋" w:hAnsi="仿宋" w:eastAsia="仿宋"/>
          <w:b/>
          <w:sz w:val="32"/>
          <w:szCs w:val="32"/>
        </w:rPr>
        <w:t>1.3</w:t>
      </w:r>
      <w:r>
        <w:rPr>
          <w:rFonts w:hint="eastAsia" w:ascii="仿宋" w:hAnsi="仿宋" w:eastAsia="仿宋"/>
          <w:b/>
          <w:sz w:val="32"/>
          <w:szCs w:val="32"/>
        </w:rPr>
        <w:t>万元，</w:t>
      </w:r>
      <w:r>
        <w:rPr>
          <w:rFonts w:hint="eastAsia" w:ascii="仿宋" w:hAnsi="仿宋" w:eastAsia="仿宋"/>
          <w:sz w:val="32"/>
          <w:szCs w:val="32"/>
        </w:rPr>
        <w:t>主要用于按规定开支的各类公务接待支出。预算数比2021年增加1</w:t>
      </w:r>
      <w:r>
        <w:rPr>
          <w:rFonts w:ascii="仿宋" w:hAnsi="仿宋" w:eastAsia="仿宋"/>
          <w:sz w:val="32"/>
          <w:szCs w:val="32"/>
        </w:rPr>
        <w:t>.3</w:t>
      </w:r>
      <w:r>
        <w:rPr>
          <w:rFonts w:hint="eastAsia" w:ascii="仿宋" w:hAnsi="仿宋" w:eastAsia="仿宋"/>
          <w:sz w:val="32"/>
          <w:szCs w:val="32"/>
        </w:rPr>
        <w:t>万元，增长1</w:t>
      </w:r>
      <w:r>
        <w:rPr>
          <w:rFonts w:ascii="仿宋" w:hAnsi="仿宋" w:eastAsia="仿宋"/>
          <w:sz w:val="32"/>
          <w:szCs w:val="32"/>
        </w:rPr>
        <w:t>00%</w:t>
      </w:r>
      <w:r>
        <w:rPr>
          <w:rFonts w:hint="eastAsia" w:ascii="仿宋" w:hAnsi="仿宋" w:eastAsia="仿宋"/>
          <w:sz w:val="32"/>
          <w:szCs w:val="32"/>
        </w:rPr>
        <w:t>。</w:t>
      </w:r>
      <w:r>
        <w:rPr>
          <w:rFonts w:hint="eastAsia" w:ascii="仿宋" w:hAnsi="仿宋" w:eastAsia="仿宋" w:cs="仿宋_GB2312"/>
          <w:sz w:val="32"/>
          <w:szCs w:val="32"/>
        </w:rPr>
        <w:t>主要原因是随着业务逐步增加，省内外接待此处增加，公务接待需求相应增加，且2</w:t>
      </w:r>
      <w:r>
        <w:rPr>
          <w:rFonts w:ascii="仿宋" w:hAnsi="仿宋" w:eastAsia="仿宋" w:cs="仿宋_GB2312"/>
          <w:sz w:val="32"/>
          <w:szCs w:val="32"/>
        </w:rPr>
        <w:t>021</w:t>
      </w:r>
      <w:r>
        <w:rPr>
          <w:rFonts w:hint="eastAsia" w:ascii="仿宋" w:hAnsi="仿宋" w:eastAsia="仿宋" w:cs="仿宋_GB2312"/>
          <w:sz w:val="32"/>
          <w:szCs w:val="32"/>
        </w:rPr>
        <w:t>年未列支该项预算。</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（一）机关运行经费支出情况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驻马店市政务服务和大数据管理局2022年机关运行经费支出预算为</w:t>
      </w:r>
      <w:r>
        <w:rPr>
          <w:rFonts w:ascii="仿宋" w:hAnsi="仿宋" w:eastAsia="仿宋"/>
          <w:sz w:val="32"/>
          <w:szCs w:val="32"/>
        </w:rPr>
        <w:t>665</w:t>
      </w:r>
      <w:r>
        <w:rPr>
          <w:rFonts w:hint="eastAsia" w:ascii="仿宋" w:hAnsi="仿宋" w:eastAsia="仿宋"/>
          <w:sz w:val="32"/>
          <w:szCs w:val="32"/>
        </w:rPr>
        <w:t>万元，主要保障机构正常运转及政策履职需要。</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（二）政府采购支出情况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2022年政府采购预算安排</w:t>
      </w:r>
      <w:r>
        <w:rPr>
          <w:rFonts w:ascii="仿宋" w:hAnsi="仿宋" w:eastAsia="仿宋"/>
          <w:sz w:val="32"/>
          <w:szCs w:val="32"/>
        </w:rPr>
        <w:t>3500.7</w:t>
      </w:r>
      <w:r>
        <w:rPr>
          <w:rFonts w:hint="eastAsia" w:ascii="仿宋" w:hAnsi="仿宋" w:eastAsia="仿宋"/>
          <w:sz w:val="32"/>
          <w:szCs w:val="32"/>
        </w:rPr>
        <w:t>万元，其中：政府采购货物预算</w:t>
      </w:r>
      <w:r>
        <w:rPr>
          <w:rFonts w:ascii="仿宋" w:hAnsi="仿宋" w:eastAsia="仿宋"/>
          <w:sz w:val="32"/>
          <w:szCs w:val="32"/>
        </w:rPr>
        <w:t>100</w:t>
      </w:r>
      <w:r>
        <w:rPr>
          <w:rFonts w:hint="eastAsia" w:ascii="仿宋" w:hAnsi="仿宋" w:eastAsia="仿宋"/>
          <w:sz w:val="32"/>
          <w:szCs w:val="32"/>
        </w:rPr>
        <w:t>万元，政府采购服务预算</w:t>
      </w:r>
      <w:r>
        <w:rPr>
          <w:rFonts w:ascii="仿宋" w:hAnsi="仿宋" w:eastAsia="仿宋"/>
          <w:sz w:val="32"/>
          <w:szCs w:val="32"/>
        </w:rPr>
        <w:t>3400.7</w:t>
      </w:r>
      <w:r>
        <w:rPr>
          <w:rFonts w:hint="eastAsia" w:ascii="仿宋" w:hAnsi="仿宋" w:eastAsia="仿宋"/>
          <w:sz w:val="32"/>
          <w:szCs w:val="32"/>
        </w:rPr>
        <w:t>万元。</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（三）绩效目标设置情况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2022年预算项目均按要求编制了绩效目标，从项目产出、项目效益、满意度等方面设置了绩效指标，综合反映项目预期完成的数量、实效、质量、预期达到的社会经济效益、可持续影响以及服务对象满意度等情况。</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（四）国有资产占用情况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202</w:t>
      </w:r>
      <w:r>
        <w:rPr>
          <w:rFonts w:ascii="仿宋" w:hAnsi="仿宋" w:eastAsia="仿宋"/>
          <w:sz w:val="32"/>
          <w:szCs w:val="32"/>
        </w:rPr>
        <w:t>1</w:t>
      </w:r>
      <w:r>
        <w:rPr>
          <w:rFonts w:hint="eastAsia" w:ascii="仿宋" w:hAnsi="仿宋" w:eastAsia="仿宋"/>
          <w:sz w:val="32"/>
          <w:szCs w:val="32"/>
        </w:rPr>
        <w:t>年期末，我局共有车辆3辆，其中：一般公务用车0辆、一般执法执勤用车0辆、其他用车3辆，其他用车主要是机要通信用车0辆、应急车辆3辆、老干部用车0辆；单价50万元以上通用设备0套，单位价值100万元以上专用设备0套。</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（五）专项转移支付项目情况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我局无负责参与管理的专项转移支付项目。</w:t>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jc w:val="center"/>
        <w:rPr>
          <w:rFonts w:ascii="黑体" w:hAnsi="黑体" w:eastAsia="黑体"/>
          <w:sz w:val="36"/>
          <w:szCs w:val="36"/>
        </w:rPr>
      </w:pPr>
      <w:r>
        <w:rPr>
          <w:rFonts w:hint="eastAsia" w:ascii="黑体" w:hAnsi="黑体" w:eastAsia="黑体"/>
          <w:sz w:val="36"/>
          <w:szCs w:val="36"/>
        </w:rPr>
        <w:t>第三部分</w:t>
      </w:r>
    </w:p>
    <w:p>
      <w:pPr>
        <w:spacing w:line="600" w:lineRule="exact"/>
        <w:jc w:val="center"/>
        <w:rPr>
          <w:rFonts w:ascii="黑体" w:hAnsi="黑体" w:eastAsia="黑体"/>
          <w:sz w:val="36"/>
          <w:szCs w:val="36"/>
        </w:rPr>
      </w:pPr>
      <w:r>
        <w:rPr>
          <w:rFonts w:hint="eastAsia" w:ascii="黑体" w:hAnsi="黑体" w:eastAsia="黑体"/>
          <w:sz w:val="36"/>
          <w:szCs w:val="36"/>
        </w:rPr>
        <w:t>名词解释</w:t>
      </w:r>
    </w:p>
    <w:p>
      <w:pPr>
        <w:spacing w:line="600" w:lineRule="exact"/>
        <w:jc w:val="center"/>
        <w:rPr>
          <w:rFonts w:ascii="黑体" w:hAnsi="黑体" w:eastAsia="黑体"/>
          <w:sz w:val="36"/>
          <w:szCs w:val="36"/>
        </w:rPr>
      </w:pP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一、财政拨款收入：是指市级财政当年拨付的资金。</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二、事业收入:是指事业单位开展专业活动及辅助活动所取得的收入。</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三、其他收入：是指部门取得的除“财政拨款”、“事业收入”、“事业单位经营收入”等以外的收入。</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600" w:lineRule="exact"/>
        <w:rPr>
          <w:rFonts w:ascii="仿宋" w:hAnsi="仿宋" w:eastAsia="仿宋" w:cs="Times New Roman"/>
          <w:sz w:val="32"/>
          <w:szCs w:val="32"/>
        </w:rPr>
      </w:pPr>
    </w:p>
    <w:p>
      <w:pPr>
        <w:adjustRightInd w:val="0"/>
        <w:snapToGrid w:val="0"/>
        <w:spacing w:line="600" w:lineRule="exact"/>
        <w:rPr>
          <w:rFonts w:ascii="黑体" w:hAnsi="黑体" w:eastAsia="黑体" w:cs="Times New Roman"/>
          <w:sz w:val="32"/>
          <w:szCs w:val="32"/>
        </w:rPr>
      </w:pPr>
      <w:r>
        <w:rPr>
          <w:rFonts w:hint="eastAsia" w:ascii="黑体" w:hAnsi="黑体" w:eastAsia="黑体" w:cs="黑体"/>
          <w:sz w:val="32"/>
          <w:szCs w:val="32"/>
        </w:rPr>
        <w:t>附件：</w:t>
      </w:r>
    </w:p>
    <w:p>
      <w:pPr>
        <w:adjustRightInd w:val="0"/>
        <w:snapToGrid w:val="0"/>
        <w:spacing w:line="600" w:lineRule="exact"/>
        <w:jc w:val="center"/>
        <w:rPr>
          <w:rFonts w:ascii="黑体" w:hAnsi="黑体" w:eastAsia="黑体" w:cs="Times New Roman"/>
          <w:sz w:val="32"/>
          <w:szCs w:val="32"/>
        </w:rPr>
      </w:pPr>
      <w:r>
        <w:rPr>
          <w:rFonts w:hint="eastAsia" w:ascii="黑体" w:hAnsi="黑体" w:eastAsia="黑体" w:cs="黑体"/>
          <w:sz w:val="32"/>
          <w:szCs w:val="32"/>
        </w:rPr>
        <w:t>2022年度驻马店市政务服务和大数据管理局部门预算</w:t>
      </w:r>
      <w:r>
        <w:rPr>
          <w:rFonts w:hint="eastAsia" w:ascii="黑体" w:hAnsi="黑体" w:eastAsia="黑体" w:cs="黑体"/>
          <w:sz w:val="32"/>
          <w:szCs w:val="32"/>
          <w:lang w:eastAsia="zh-CN"/>
        </w:rPr>
        <w:t>公开</w:t>
      </w:r>
      <w:r>
        <w:rPr>
          <w:rFonts w:hint="eastAsia" w:ascii="黑体" w:hAnsi="黑体" w:eastAsia="黑体" w:cs="黑体"/>
          <w:sz w:val="32"/>
          <w:szCs w:val="32"/>
        </w:rPr>
        <w:t>表</w:t>
      </w:r>
    </w:p>
    <w:p>
      <w:pPr>
        <w:spacing w:line="600" w:lineRule="exact"/>
      </w:pPr>
      <w:bookmarkStart w:id="0" w:name="_GoBack"/>
      <w:bookmarkEnd w:id="0"/>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B6E0A"/>
    <w:rsid w:val="00024F6B"/>
    <w:rsid w:val="00046304"/>
    <w:rsid w:val="00081A39"/>
    <w:rsid w:val="00082E97"/>
    <w:rsid w:val="00092293"/>
    <w:rsid w:val="000A1B1B"/>
    <w:rsid w:val="000A57D3"/>
    <w:rsid w:val="000A793C"/>
    <w:rsid w:val="000B2C71"/>
    <w:rsid w:val="000D2EF0"/>
    <w:rsid w:val="000E1E98"/>
    <w:rsid w:val="000F00F0"/>
    <w:rsid w:val="000F07CF"/>
    <w:rsid w:val="00103B01"/>
    <w:rsid w:val="00130D39"/>
    <w:rsid w:val="00132510"/>
    <w:rsid w:val="00135319"/>
    <w:rsid w:val="00143BFC"/>
    <w:rsid w:val="00157DC9"/>
    <w:rsid w:val="00164490"/>
    <w:rsid w:val="0016485B"/>
    <w:rsid w:val="00174BB7"/>
    <w:rsid w:val="00185A04"/>
    <w:rsid w:val="00197F39"/>
    <w:rsid w:val="00197FD4"/>
    <w:rsid w:val="001D3474"/>
    <w:rsid w:val="001F0097"/>
    <w:rsid w:val="001F0DC7"/>
    <w:rsid w:val="001F3EA8"/>
    <w:rsid w:val="00240DC5"/>
    <w:rsid w:val="00251154"/>
    <w:rsid w:val="00267A52"/>
    <w:rsid w:val="00276750"/>
    <w:rsid w:val="00277F07"/>
    <w:rsid w:val="00281F39"/>
    <w:rsid w:val="00282C62"/>
    <w:rsid w:val="002868DF"/>
    <w:rsid w:val="002A0543"/>
    <w:rsid w:val="002A5C59"/>
    <w:rsid w:val="002A60BE"/>
    <w:rsid w:val="002C63F2"/>
    <w:rsid w:val="00313C25"/>
    <w:rsid w:val="00321C62"/>
    <w:rsid w:val="00322205"/>
    <w:rsid w:val="00357CD3"/>
    <w:rsid w:val="0036405E"/>
    <w:rsid w:val="00380842"/>
    <w:rsid w:val="00394026"/>
    <w:rsid w:val="003B307C"/>
    <w:rsid w:val="003D2251"/>
    <w:rsid w:val="003D4DA1"/>
    <w:rsid w:val="003E58A6"/>
    <w:rsid w:val="003F281A"/>
    <w:rsid w:val="003F6FA5"/>
    <w:rsid w:val="00402A63"/>
    <w:rsid w:val="004059A2"/>
    <w:rsid w:val="00413874"/>
    <w:rsid w:val="0041494C"/>
    <w:rsid w:val="00425830"/>
    <w:rsid w:val="004402A9"/>
    <w:rsid w:val="00440E08"/>
    <w:rsid w:val="0044221E"/>
    <w:rsid w:val="00445854"/>
    <w:rsid w:val="004523F4"/>
    <w:rsid w:val="00475A3F"/>
    <w:rsid w:val="00485E69"/>
    <w:rsid w:val="00486CF5"/>
    <w:rsid w:val="00495029"/>
    <w:rsid w:val="004B1C7F"/>
    <w:rsid w:val="004B2AB1"/>
    <w:rsid w:val="004B5AC1"/>
    <w:rsid w:val="004C77A0"/>
    <w:rsid w:val="004D3E72"/>
    <w:rsid w:val="00517F70"/>
    <w:rsid w:val="00520079"/>
    <w:rsid w:val="00520C68"/>
    <w:rsid w:val="005458CE"/>
    <w:rsid w:val="005458EA"/>
    <w:rsid w:val="00547FA8"/>
    <w:rsid w:val="005653F6"/>
    <w:rsid w:val="00574E19"/>
    <w:rsid w:val="00593ACE"/>
    <w:rsid w:val="00594B0A"/>
    <w:rsid w:val="005A7D02"/>
    <w:rsid w:val="005C73B8"/>
    <w:rsid w:val="00602E19"/>
    <w:rsid w:val="00603939"/>
    <w:rsid w:val="00624C7A"/>
    <w:rsid w:val="00645E20"/>
    <w:rsid w:val="00655743"/>
    <w:rsid w:val="00660C03"/>
    <w:rsid w:val="00676BA6"/>
    <w:rsid w:val="00691D56"/>
    <w:rsid w:val="00697E78"/>
    <w:rsid w:val="006A220B"/>
    <w:rsid w:val="006B3606"/>
    <w:rsid w:val="006B3FE3"/>
    <w:rsid w:val="006C05D6"/>
    <w:rsid w:val="006C3210"/>
    <w:rsid w:val="006D62E0"/>
    <w:rsid w:val="00700239"/>
    <w:rsid w:val="00700B9A"/>
    <w:rsid w:val="00712BF9"/>
    <w:rsid w:val="007136D4"/>
    <w:rsid w:val="00737C3B"/>
    <w:rsid w:val="007500F2"/>
    <w:rsid w:val="00755247"/>
    <w:rsid w:val="0076118A"/>
    <w:rsid w:val="00791B9D"/>
    <w:rsid w:val="007922C8"/>
    <w:rsid w:val="007A040A"/>
    <w:rsid w:val="007B1850"/>
    <w:rsid w:val="007B4386"/>
    <w:rsid w:val="007D4A49"/>
    <w:rsid w:val="007D7A4A"/>
    <w:rsid w:val="007E0369"/>
    <w:rsid w:val="007E6EE0"/>
    <w:rsid w:val="00804982"/>
    <w:rsid w:val="0086203B"/>
    <w:rsid w:val="0086225A"/>
    <w:rsid w:val="0087679C"/>
    <w:rsid w:val="008803FE"/>
    <w:rsid w:val="00882505"/>
    <w:rsid w:val="008A14DB"/>
    <w:rsid w:val="008A2A42"/>
    <w:rsid w:val="008B58F3"/>
    <w:rsid w:val="008B63CD"/>
    <w:rsid w:val="008C6D08"/>
    <w:rsid w:val="008D1B9C"/>
    <w:rsid w:val="008D5A65"/>
    <w:rsid w:val="008F0447"/>
    <w:rsid w:val="008F3BA6"/>
    <w:rsid w:val="00905640"/>
    <w:rsid w:val="00911594"/>
    <w:rsid w:val="00912829"/>
    <w:rsid w:val="00913E4A"/>
    <w:rsid w:val="00914D64"/>
    <w:rsid w:val="00926A33"/>
    <w:rsid w:val="009507BF"/>
    <w:rsid w:val="00952225"/>
    <w:rsid w:val="009574C3"/>
    <w:rsid w:val="00965F4F"/>
    <w:rsid w:val="00970B54"/>
    <w:rsid w:val="00975A3B"/>
    <w:rsid w:val="00983608"/>
    <w:rsid w:val="00987F87"/>
    <w:rsid w:val="0099182F"/>
    <w:rsid w:val="009B17AE"/>
    <w:rsid w:val="009B1DCD"/>
    <w:rsid w:val="009E5FDF"/>
    <w:rsid w:val="00A0087B"/>
    <w:rsid w:val="00A04B48"/>
    <w:rsid w:val="00A0547F"/>
    <w:rsid w:val="00A111CB"/>
    <w:rsid w:val="00A51477"/>
    <w:rsid w:val="00A642E5"/>
    <w:rsid w:val="00A6587F"/>
    <w:rsid w:val="00A75D9C"/>
    <w:rsid w:val="00A83E1B"/>
    <w:rsid w:val="00AA09FD"/>
    <w:rsid w:val="00AB26EC"/>
    <w:rsid w:val="00AE18EF"/>
    <w:rsid w:val="00B02CDE"/>
    <w:rsid w:val="00B16384"/>
    <w:rsid w:val="00B32090"/>
    <w:rsid w:val="00B35C03"/>
    <w:rsid w:val="00B40CEC"/>
    <w:rsid w:val="00B60387"/>
    <w:rsid w:val="00B62A35"/>
    <w:rsid w:val="00B71283"/>
    <w:rsid w:val="00B8118B"/>
    <w:rsid w:val="00BB1038"/>
    <w:rsid w:val="00BB32E4"/>
    <w:rsid w:val="00BB5328"/>
    <w:rsid w:val="00BB5D7B"/>
    <w:rsid w:val="00BC25A8"/>
    <w:rsid w:val="00BC482D"/>
    <w:rsid w:val="00BF3E2E"/>
    <w:rsid w:val="00BF6756"/>
    <w:rsid w:val="00C05FD2"/>
    <w:rsid w:val="00C06984"/>
    <w:rsid w:val="00C1216D"/>
    <w:rsid w:val="00C153C4"/>
    <w:rsid w:val="00C16BCC"/>
    <w:rsid w:val="00C24430"/>
    <w:rsid w:val="00C27C48"/>
    <w:rsid w:val="00C32353"/>
    <w:rsid w:val="00C324EE"/>
    <w:rsid w:val="00C46EC8"/>
    <w:rsid w:val="00C52E82"/>
    <w:rsid w:val="00C547E8"/>
    <w:rsid w:val="00C555BA"/>
    <w:rsid w:val="00C64274"/>
    <w:rsid w:val="00C822B5"/>
    <w:rsid w:val="00C83CCC"/>
    <w:rsid w:val="00C83DBE"/>
    <w:rsid w:val="00C84D92"/>
    <w:rsid w:val="00C961DC"/>
    <w:rsid w:val="00C97DB5"/>
    <w:rsid w:val="00CB5205"/>
    <w:rsid w:val="00CC09A9"/>
    <w:rsid w:val="00CF06D4"/>
    <w:rsid w:val="00D06F40"/>
    <w:rsid w:val="00D14F88"/>
    <w:rsid w:val="00D1533C"/>
    <w:rsid w:val="00D1724E"/>
    <w:rsid w:val="00D21D75"/>
    <w:rsid w:val="00D263AD"/>
    <w:rsid w:val="00D30077"/>
    <w:rsid w:val="00D32AF5"/>
    <w:rsid w:val="00D43271"/>
    <w:rsid w:val="00D66752"/>
    <w:rsid w:val="00DB5996"/>
    <w:rsid w:val="00DB6E0A"/>
    <w:rsid w:val="00DB7AB8"/>
    <w:rsid w:val="00DC2B51"/>
    <w:rsid w:val="00DD2FFD"/>
    <w:rsid w:val="00DD6237"/>
    <w:rsid w:val="00DD6651"/>
    <w:rsid w:val="00E16978"/>
    <w:rsid w:val="00E247EF"/>
    <w:rsid w:val="00E27173"/>
    <w:rsid w:val="00E42482"/>
    <w:rsid w:val="00E42FC7"/>
    <w:rsid w:val="00E504A7"/>
    <w:rsid w:val="00E66C96"/>
    <w:rsid w:val="00E90CF6"/>
    <w:rsid w:val="00E95E4C"/>
    <w:rsid w:val="00E962BF"/>
    <w:rsid w:val="00EA5804"/>
    <w:rsid w:val="00EB1647"/>
    <w:rsid w:val="00ED0313"/>
    <w:rsid w:val="00ED163A"/>
    <w:rsid w:val="00EF00AC"/>
    <w:rsid w:val="00EF0A3A"/>
    <w:rsid w:val="00F26566"/>
    <w:rsid w:val="00F31989"/>
    <w:rsid w:val="00F3215C"/>
    <w:rsid w:val="00F32AF3"/>
    <w:rsid w:val="00F33AA2"/>
    <w:rsid w:val="00F372DE"/>
    <w:rsid w:val="00F43772"/>
    <w:rsid w:val="00F47160"/>
    <w:rsid w:val="00F471FF"/>
    <w:rsid w:val="00F71085"/>
    <w:rsid w:val="00F73411"/>
    <w:rsid w:val="00F74C04"/>
    <w:rsid w:val="00F82CBC"/>
    <w:rsid w:val="00F846C0"/>
    <w:rsid w:val="00F87D66"/>
    <w:rsid w:val="00F90FAE"/>
    <w:rsid w:val="00FA0F9B"/>
    <w:rsid w:val="00FA6BF0"/>
    <w:rsid w:val="00FB172E"/>
    <w:rsid w:val="00FB5612"/>
    <w:rsid w:val="00FC0622"/>
    <w:rsid w:val="00FC6DFC"/>
    <w:rsid w:val="00FD4CB7"/>
    <w:rsid w:val="0CB32593"/>
    <w:rsid w:val="1488753C"/>
    <w:rsid w:val="1EFB577C"/>
    <w:rsid w:val="34787E99"/>
    <w:rsid w:val="35EB66F2"/>
    <w:rsid w:val="684A26C4"/>
    <w:rsid w:val="70071E5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b/>
      <w:bCs/>
    </w:rPr>
  </w:style>
  <w:style w:type="paragraph" w:styleId="9">
    <w:name w:val="List Paragraph"/>
    <w:basedOn w:val="1"/>
    <w:qFormat/>
    <w:uiPriority w:val="99"/>
    <w:pPr>
      <w:ind w:firstLine="420" w:firstLineChars="200"/>
    </w:pPr>
  </w:style>
  <w:style w:type="character" w:customStyle="1" w:styleId="10">
    <w:name w:val="批注框文本 字符"/>
    <w:basedOn w:val="7"/>
    <w:link w:val="2"/>
    <w:semiHidden/>
    <w:qFormat/>
    <w:locked/>
    <w:uiPriority w:val="99"/>
    <w:rPr>
      <w:sz w:val="2"/>
      <w:szCs w:val="2"/>
    </w:rPr>
  </w:style>
  <w:style w:type="character" w:customStyle="1" w:styleId="11">
    <w:name w:val="页眉 字符"/>
    <w:basedOn w:val="7"/>
    <w:link w:val="4"/>
    <w:semiHidden/>
    <w:qFormat/>
    <w:uiPriority w:val="99"/>
    <w:rPr>
      <w:rFonts w:cs="Calibri"/>
      <w:sz w:val="18"/>
      <w:szCs w:val="18"/>
    </w:rPr>
  </w:style>
  <w:style w:type="character" w:customStyle="1" w:styleId="12">
    <w:name w:val="页脚 字符"/>
    <w:basedOn w:val="7"/>
    <w:link w:val="3"/>
    <w:semiHidden/>
    <w:qFormat/>
    <w:uiPriority w:val="99"/>
    <w:rPr>
      <w:rFonts w:cs="Calibri"/>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11</Pages>
  <Words>3950</Words>
  <Characters>4194</Characters>
  <Lines>30</Lines>
  <Paragraphs>8</Paragraphs>
  <TotalTime>0</TotalTime>
  <ScaleCrop>false</ScaleCrop>
  <LinksUpToDate>false</LinksUpToDate>
  <CharactersWithSpaces>4207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2022-04-14T06:38:00Z</dcterms:created>
  <dc:creator>6102</dc:creator>
  <cp:lastModifiedBy>hh</cp:lastModifiedBy>
  <cp:lastPrinted>2018-03-22T04:03:00Z</cp:lastPrinted>
  <dcterms:modified xsi:type="dcterms:W3CDTF">2022-04-18T08:19:20Z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EE291831B1374569B4CC98683422C489</vt:lpwstr>
  </property>
  <property fmtid="{D5CDD505-2E9C-101B-9397-08002B2CF9AE}" pid="4" name="commondata">
    <vt:lpwstr>eyJoZGlkIjoiNjQxYjA3MzUxNGVlZjI4MTUzZWUzMmUzMTY5MDFkYzkifQ==</vt:lpwstr>
  </property>
</Properties>
</file>