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2023年驻马店市投资评审中心部门预算说明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驻马店市投资评审中心概况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驻马店市投资评审中心2023年度部门预算情况说明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附件：驻马店市投资评审中心2023年度部门预算表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一、部门收支总体预算表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二、部门收入总体预算表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三、部门支出总体预算表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四、财政拨款收支预算表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五、一般公共预算支出预算表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六、一般公共预算基本支出表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七、支出经济分类汇总表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八、一般公共预算“三公”经费预算表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九、政府性基金预算支出预算表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十、项目支出预算表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十一、市级部门（单位）整体绩效目标表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十二、市级部门预算项目绩效目标汇总表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驻马店市投资评审中心概况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一、驻马店市投资评审中心主要职能</w:t>
      </w:r>
    </w:p>
    <w:p>
      <w:pPr>
        <w:adjustRightInd w:val="0"/>
        <w:snapToGrid w:val="0"/>
        <w:spacing w:line="578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根据《中共驻马店市委机构编制委员会关于部分处级事业单位调整的通知》（驻编〔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</w:rPr>
        <w:t>9〕2</w:t>
      </w:r>
      <w:r>
        <w:rPr>
          <w:rFonts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</w:rPr>
        <w:t>号）及《关于印发〈驻马店市投资评审中心职能配置内设机构和人员编制规定〉的通知》（驻编〔</w:t>
      </w:r>
      <w:r>
        <w:rPr>
          <w:rFonts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</w:rPr>
        <w:t>9〕41号）文件规定，驻马店市投资评审中心为市政府直属事业单位，贯彻落实国家、省、市关于投资评审工作的法律法规和方针政策，在履行职责过程中坚持和加强党对投资评审工作的集中统一领导。主要职责是：</w:t>
      </w:r>
    </w:p>
    <w:p>
      <w:pPr>
        <w:spacing w:line="578" w:lineRule="atLeas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（一）参与市政府投资项目的可行性研究、论证等技术性服务性工作，负责</w:t>
      </w:r>
      <w:r>
        <w:rPr>
          <w:rFonts w:hint="eastAsia" w:ascii="仿宋" w:hAnsi="仿宋" w:eastAsia="仿宋"/>
          <w:sz w:val="32"/>
          <w:szCs w:val="32"/>
        </w:rPr>
        <w:t>市政府投资项目工程概（预）算、结算等审核工作。</w:t>
      </w:r>
    </w:p>
    <w:p>
      <w:pPr>
        <w:spacing w:line="578" w:lineRule="atLeast"/>
        <w:ind w:firstLine="627" w:firstLineChars="19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</w:t>
      </w:r>
      <w:r>
        <w:rPr>
          <w:rFonts w:hint="eastAsia" w:ascii="仿宋" w:hAnsi="仿宋" w:eastAsia="仿宋"/>
          <w:color w:val="000000"/>
          <w:sz w:val="32"/>
          <w:szCs w:val="32"/>
        </w:rPr>
        <w:t>负责市政府投资项目招标控制价审查和经济效益后评价工作</w:t>
      </w:r>
      <w:r>
        <w:rPr>
          <w:rFonts w:ascii="仿宋" w:hAnsi="仿宋" w:eastAsia="仿宋" w:cs="仿宋_GB2312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</w:t>
      </w:r>
      <w:r>
        <w:rPr>
          <w:rFonts w:hint="eastAsia" w:ascii="仿宋" w:hAnsi="仿宋" w:eastAsia="仿宋"/>
          <w:sz w:val="32"/>
          <w:szCs w:val="32"/>
        </w:rPr>
        <w:t>完成市政府交办的其他任务。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二、驻马店市投资评审中心机构设置及预算单位构成</w:t>
      </w:r>
    </w:p>
    <w:p>
      <w:pPr>
        <w:spacing w:line="578" w:lineRule="atLeast"/>
        <w:ind w:firstLine="640" w:firstLineChars="200"/>
        <w:rPr>
          <w:rFonts w:ascii="华文仿宋" w:hAnsi="华文仿宋" w:eastAsia="华文仿宋" w:cs="Times New Roman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驻马店市投资评审中心为市政府直属事业单位，规格为副处级。内设4个职能科室，分别为综合科、评审一科、评审二科、稽核科。202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年纳入驻马店市年度部门预算编制范围的单位共1个。单位共有编制30名，全部为事业编制，目前在编人员21名，退休人员1名。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驻马店市投资评审中心2023年度部门预算情况说明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华文仿宋" w:hAnsi="华文仿宋" w:eastAsia="仿宋" w:cs="Times New Roman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>驻马店市投资评审中心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2023年收入总计</w:t>
      </w:r>
      <w:r>
        <w:rPr>
          <w:rFonts w:ascii="仿宋" w:hAnsi="仿宋" w:eastAsia="仿宋" w:cs="仿宋_GB2312"/>
          <w:color w:val="000000"/>
          <w:sz w:val="32"/>
          <w:szCs w:val="32"/>
        </w:rPr>
        <w:t>1209.35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万元，支出总计</w:t>
      </w:r>
      <w:r>
        <w:rPr>
          <w:rFonts w:ascii="仿宋" w:hAnsi="仿宋" w:eastAsia="仿宋" w:cs="仿宋_GB2312"/>
          <w:color w:val="000000"/>
          <w:sz w:val="32"/>
          <w:szCs w:val="32"/>
        </w:rPr>
        <w:t>1209.35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万元，与202</w:t>
      </w:r>
      <w:r>
        <w:rPr>
          <w:rFonts w:ascii="仿宋" w:hAnsi="仿宋" w:eastAsia="仿宋" w:cs="仿宋_GB2312"/>
          <w:color w:val="00000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年预算相比，收、支总计各增加3</w:t>
      </w:r>
      <w:r>
        <w:rPr>
          <w:rFonts w:ascii="仿宋" w:hAnsi="仿宋" w:eastAsia="仿宋" w:cs="仿宋_GB2312"/>
          <w:color w:val="000000"/>
          <w:sz w:val="32"/>
          <w:szCs w:val="32"/>
        </w:rPr>
        <w:t>3.05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万元，上升</w:t>
      </w:r>
      <w:r>
        <w:rPr>
          <w:rFonts w:ascii="仿宋" w:hAnsi="仿宋" w:eastAsia="仿宋" w:cs="仿宋_GB2312"/>
          <w:color w:val="000000"/>
          <w:sz w:val="32"/>
          <w:szCs w:val="32"/>
        </w:rPr>
        <w:t>2.8%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是人员经费支出增加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驻马店市投资评审中心</w:t>
      </w:r>
      <w:r>
        <w:rPr>
          <w:rFonts w:eastAsia="仿宋"/>
          <w:sz w:val="32"/>
          <w:szCs w:val="32"/>
        </w:rPr>
        <w:t>  </w:t>
      </w:r>
      <w:r>
        <w:rPr>
          <w:rFonts w:hint="eastAsia" w:ascii="仿宋" w:hAnsi="仿宋" w:eastAsia="仿宋"/>
          <w:sz w:val="32"/>
          <w:szCs w:val="32"/>
        </w:rPr>
        <w:t>2023年收入合计</w:t>
      </w:r>
      <w:r>
        <w:rPr>
          <w:rFonts w:ascii="仿宋" w:hAnsi="仿宋" w:eastAsia="仿宋"/>
          <w:sz w:val="32"/>
          <w:szCs w:val="32"/>
        </w:rPr>
        <w:t>1209.35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ascii="仿宋" w:hAnsi="仿宋" w:eastAsia="仿宋"/>
          <w:sz w:val="32"/>
          <w:szCs w:val="32"/>
        </w:rPr>
        <w:t>1209.35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驻马店市投资评审中心2023年支出合计</w:t>
      </w:r>
      <w:r>
        <w:rPr>
          <w:rFonts w:ascii="仿宋" w:hAnsi="仿宋" w:eastAsia="仿宋"/>
          <w:sz w:val="32"/>
          <w:szCs w:val="32"/>
        </w:rPr>
        <w:t>1209.35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344.68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28.5%</w:t>
      </w:r>
      <w:r>
        <w:rPr>
          <w:rFonts w:hint="eastAsia" w:ascii="仿宋" w:hAnsi="仿宋" w:eastAsia="仿宋"/>
          <w:sz w:val="32"/>
          <w:szCs w:val="32"/>
        </w:rPr>
        <w:t>；项目支出</w:t>
      </w:r>
      <w:r>
        <w:rPr>
          <w:rFonts w:ascii="仿宋" w:hAnsi="仿宋" w:eastAsia="仿宋"/>
          <w:sz w:val="32"/>
          <w:szCs w:val="32"/>
        </w:rPr>
        <w:t>864.67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71.5%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驻马店市投资评审中心2023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ascii="仿宋" w:hAnsi="仿宋" w:eastAsia="仿宋" w:cs="仿宋_GB2312"/>
          <w:color w:val="000000"/>
          <w:sz w:val="32"/>
          <w:szCs w:val="32"/>
        </w:rPr>
        <w:t>1209.35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年相比，一般公共预算收支预算增加3</w:t>
      </w:r>
      <w:r>
        <w:rPr>
          <w:rFonts w:ascii="仿宋" w:hAnsi="仿宋" w:eastAsia="仿宋"/>
          <w:sz w:val="32"/>
          <w:szCs w:val="32"/>
        </w:rPr>
        <w:t>3.05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上升</w:t>
      </w:r>
      <w:r>
        <w:rPr>
          <w:rFonts w:ascii="仿宋" w:hAnsi="仿宋" w:eastAsia="仿宋" w:cs="仿宋_GB2312"/>
          <w:color w:val="000000"/>
          <w:sz w:val="32"/>
          <w:szCs w:val="32"/>
        </w:rPr>
        <w:t>2.8%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。主要原因</w:t>
      </w: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是人员经费支出增加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color w:val="333333"/>
          <w:sz w:val="32"/>
          <w:szCs w:val="32"/>
        </w:rPr>
        <w:t>驻马店市投资评审中心2023年一般公共预算支出年初预算为</w:t>
      </w:r>
      <w:r>
        <w:rPr>
          <w:rFonts w:ascii="仿宋" w:hAnsi="仿宋" w:eastAsia="仿宋" w:cs="仿宋_GB2312"/>
          <w:color w:val="000000"/>
          <w:sz w:val="32"/>
          <w:szCs w:val="32"/>
        </w:rPr>
        <w:t>1209.35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ascii="仿宋" w:hAnsi="仿宋" w:eastAsia="仿宋" w:cs="仿宋_GB2312"/>
          <w:color w:val="000000"/>
          <w:sz w:val="32"/>
          <w:szCs w:val="32"/>
        </w:rPr>
        <w:t>1126.51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93.2%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ascii="仿宋" w:hAnsi="仿宋" w:eastAsia="仿宋" w:cs="仿宋_GB2312"/>
          <w:color w:val="000000"/>
          <w:sz w:val="32"/>
          <w:szCs w:val="32"/>
        </w:rPr>
        <w:t>33.91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2.8%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ascii="仿宋" w:hAnsi="仿宋" w:eastAsia="仿宋" w:cs="仿宋_GB2312"/>
          <w:color w:val="000000"/>
          <w:sz w:val="32"/>
          <w:szCs w:val="32"/>
        </w:rPr>
        <w:t>20.52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1.6%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ascii="仿宋" w:hAnsi="仿宋" w:eastAsia="仿宋" w:cs="仿宋_GB2312"/>
          <w:color w:val="000000"/>
          <w:sz w:val="32"/>
          <w:szCs w:val="32"/>
        </w:rPr>
        <w:t>28.42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ascii="仿宋" w:hAnsi="仿宋" w:eastAsia="仿宋" w:cs="仿宋_GB2312"/>
          <w:color w:val="000000"/>
          <w:sz w:val="32"/>
          <w:szCs w:val="32"/>
        </w:rPr>
        <w:t>2.4%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2023年一般公共预算基本支出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344.68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304.74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39.94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我单位2023年无使用政府性基金预算拨款安排的支出。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我单位2023年“三公”经费预算为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万元。2023年“三公”经费支出预算数比202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ascii="仿宋" w:hAnsi="仿宋" w:eastAsia="仿宋"/>
          <w:sz w:val="32"/>
          <w:szCs w:val="32"/>
        </w:rPr>
        <w:t>30%</w:t>
      </w:r>
      <w:r>
        <w:rPr>
          <w:rFonts w:hint="eastAsia" w:ascii="仿宋" w:hAnsi="仿宋" w:eastAsia="仿宋"/>
          <w:sz w:val="32"/>
          <w:szCs w:val="32"/>
        </w:rPr>
        <w:t xml:space="preserve">。主要原因是按照要求，压减“三公”经费支出。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ascii="仿宋" w:hAnsi="仿宋" w:eastAsia="仿宋"/>
          <w:b/>
          <w:sz w:val="32"/>
          <w:szCs w:val="32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主要用于单位工作人员公务出国（境）的住宿费、旅费、伙食补助费、杂费、培训费等支出。我单位2023年没有安排因公出国（境）费用的收入和支出预算。预算数与202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年持平。主要原因是</w:t>
      </w:r>
      <w:r>
        <w:rPr>
          <w:rFonts w:hint="eastAsia" w:ascii="仿宋" w:hAnsi="仿宋" w:eastAsia="仿宋" w:cs="Courier New"/>
          <w:sz w:val="32"/>
          <w:szCs w:val="32"/>
        </w:rPr>
        <w:t>我单位今年无因公出国（境）计划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ascii="仿宋" w:hAnsi="仿宋" w:eastAsia="仿宋"/>
          <w:b/>
          <w:sz w:val="32"/>
          <w:szCs w:val="32"/>
        </w:rPr>
        <w:t>1.8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，主要用于开展工作所需公务用车的燃料费、维修费、过路过桥费、保险费、安全奖励费用等支出。其中公务用车购置费预算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年持平，主要原因是我单位今年无购买公车计划。公务用车运行维护费预算为</w:t>
      </w:r>
      <w:r>
        <w:rPr>
          <w:rFonts w:ascii="仿宋" w:hAnsi="仿宋" w:eastAsia="仿宋"/>
          <w:sz w:val="32"/>
          <w:szCs w:val="32"/>
        </w:rPr>
        <w:t>1.8</w:t>
      </w:r>
      <w:r>
        <w:rPr>
          <w:rFonts w:hint="eastAsia" w:ascii="仿宋" w:hAnsi="仿宋" w:eastAsia="仿宋"/>
          <w:sz w:val="32"/>
          <w:szCs w:val="32"/>
        </w:rPr>
        <w:t>万元，比202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ascii="仿宋" w:hAnsi="仿宋" w:eastAsia="仿宋"/>
          <w:sz w:val="32"/>
          <w:szCs w:val="32"/>
        </w:rPr>
        <w:t>35.7%</w:t>
      </w:r>
      <w:r>
        <w:rPr>
          <w:rFonts w:hint="eastAsia" w:ascii="仿宋" w:hAnsi="仿宋" w:eastAsia="仿宋"/>
          <w:sz w:val="32"/>
          <w:szCs w:val="32"/>
        </w:rPr>
        <w:t>，主要原因是按照要求，压减“三公”经费支出。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ascii="仿宋" w:hAnsi="仿宋" w:eastAsia="仿宋"/>
          <w:b/>
          <w:sz w:val="32"/>
          <w:szCs w:val="32"/>
        </w:rPr>
        <w:t>0.2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主要用于按规定开支的各类公务接待支出。预算数与202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年持平，</w:t>
      </w:r>
      <w:r>
        <w:rPr>
          <w:rFonts w:hint="eastAsia" w:ascii="仿宋" w:hAnsi="仿宋" w:eastAsia="仿宋" w:cs="仿宋_GB2312"/>
          <w:sz w:val="32"/>
          <w:szCs w:val="32"/>
        </w:rPr>
        <w:t>主要原因是</w:t>
      </w:r>
      <w:r>
        <w:rPr>
          <w:rFonts w:hint="eastAsia" w:ascii="仿宋" w:hAnsi="仿宋" w:eastAsia="仿宋"/>
          <w:sz w:val="32"/>
          <w:szCs w:val="32"/>
        </w:rPr>
        <w:t>评审业务量加重，有公务接待需求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驻马店市投资评审中心2023年机关运行经费支出预算为</w:t>
      </w:r>
      <w:r>
        <w:rPr>
          <w:rFonts w:ascii="仿宋" w:hAnsi="仿宋" w:eastAsia="仿宋"/>
          <w:sz w:val="32"/>
          <w:szCs w:val="32"/>
        </w:rPr>
        <w:t>261.84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2023年政府采购预算安排</w:t>
      </w:r>
      <w:r>
        <w:rPr>
          <w:rFonts w:ascii="仿宋" w:hAnsi="仿宋" w:eastAsia="仿宋"/>
          <w:sz w:val="32"/>
          <w:szCs w:val="32"/>
        </w:rPr>
        <w:t>821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ascii="仿宋" w:hAnsi="仿宋" w:eastAsia="仿宋"/>
          <w:sz w:val="32"/>
          <w:szCs w:val="32"/>
        </w:rPr>
        <w:t>802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2023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年期末，我单位共有车辆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我单位无负责参与管理的专项转移支付项目。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驻马店市投资评审中心2023年度部门预算表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ZTJlMTQ2YThmZWRjNTgwMTUyYWUzYTE4OTdlYzcifQ=="/>
  </w:docVars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534"/>
    <w:rsid w:val="00321C62"/>
    <w:rsid w:val="003220A2"/>
    <w:rsid w:val="00322205"/>
    <w:rsid w:val="00357CD3"/>
    <w:rsid w:val="0036405E"/>
    <w:rsid w:val="00380842"/>
    <w:rsid w:val="003902D4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8BF"/>
    <w:rsid w:val="004B1C7F"/>
    <w:rsid w:val="004B2AB1"/>
    <w:rsid w:val="004B5AC1"/>
    <w:rsid w:val="004C28C0"/>
    <w:rsid w:val="004D3E72"/>
    <w:rsid w:val="004D506B"/>
    <w:rsid w:val="00517F70"/>
    <w:rsid w:val="00520079"/>
    <w:rsid w:val="00520568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5634"/>
    <w:rsid w:val="00737C3B"/>
    <w:rsid w:val="00755247"/>
    <w:rsid w:val="0076118A"/>
    <w:rsid w:val="00791B9D"/>
    <w:rsid w:val="007922C8"/>
    <w:rsid w:val="007A040A"/>
    <w:rsid w:val="007A0DC9"/>
    <w:rsid w:val="007B4386"/>
    <w:rsid w:val="007D4A49"/>
    <w:rsid w:val="007D7A4A"/>
    <w:rsid w:val="007E0369"/>
    <w:rsid w:val="007E6EE0"/>
    <w:rsid w:val="00804982"/>
    <w:rsid w:val="0086203B"/>
    <w:rsid w:val="008756D9"/>
    <w:rsid w:val="0087679C"/>
    <w:rsid w:val="008803FE"/>
    <w:rsid w:val="00882505"/>
    <w:rsid w:val="008A14DB"/>
    <w:rsid w:val="008A2A42"/>
    <w:rsid w:val="008B58F3"/>
    <w:rsid w:val="008B63CD"/>
    <w:rsid w:val="008C664E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2235"/>
    <w:rsid w:val="00987F87"/>
    <w:rsid w:val="0099182F"/>
    <w:rsid w:val="009B17AE"/>
    <w:rsid w:val="009B1DCD"/>
    <w:rsid w:val="009D0A8E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36B6B"/>
    <w:rsid w:val="00B60387"/>
    <w:rsid w:val="00B62A35"/>
    <w:rsid w:val="00B71283"/>
    <w:rsid w:val="00B77BB8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1A9E"/>
    <w:rsid w:val="00C32353"/>
    <w:rsid w:val="00C324EE"/>
    <w:rsid w:val="00C46EC8"/>
    <w:rsid w:val="00C547E8"/>
    <w:rsid w:val="00C555BA"/>
    <w:rsid w:val="00C822B5"/>
    <w:rsid w:val="00C84D92"/>
    <w:rsid w:val="00C91052"/>
    <w:rsid w:val="00C961DC"/>
    <w:rsid w:val="00C97DB5"/>
    <w:rsid w:val="00CB5205"/>
    <w:rsid w:val="00CB6805"/>
    <w:rsid w:val="00CC09A9"/>
    <w:rsid w:val="00CE76B2"/>
    <w:rsid w:val="00CF06D4"/>
    <w:rsid w:val="00D059DE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71841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CB32593"/>
    <w:rsid w:val="10F7009F"/>
    <w:rsid w:val="1488753C"/>
    <w:rsid w:val="1EFB577C"/>
    <w:rsid w:val="2B7F3410"/>
    <w:rsid w:val="34787E99"/>
    <w:rsid w:val="684A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7"/>
    <w:semiHidden/>
    <w:unhideWhenUsed/>
    <w:uiPriority w:val="99"/>
    <w:rPr>
      <w:b/>
      <w:bCs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9"/>
    <w:link w:val="3"/>
    <w:semiHidden/>
    <w:qFormat/>
    <w:locked/>
    <w:uiPriority w:val="99"/>
    <w:rPr>
      <w:sz w:val="2"/>
      <w:szCs w:val="2"/>
    </w:rPr>
  </w:style>
  <w:style w:type="character" w:customStyle="1" w:styleId="14">
    <w:name w:val="页眉 字符"/>
    <w:basedOn w:val="9"/>
    <w:link w:val="5"/>
    <w:qFormat/>
    <w:uiPriority w:val="99"/>
    <w:rPr>
      <w:rFonts w:cs="Calibri"/>
      <w:sz w:val="18"/>
      <w:szCs w:val="18"/>
    </w:rPr>
  </w:style>
  <w:style w:type="character" w:customStyle="1" w:styleId="15">
    <w:name w:val="页脚 字符"/>
    <w:basedOn w:val="9"/>
    <w:link w:val="4"/>
    <w:qFormat/>
    <w:uiPriority w:val="99"/>
    <w:rPr>
      <w:rFonts w:cs="Calibri"/>
      <w:sz w:val="18"/>
      <w:szCs w:val="18"/>
    </w:rPr>
  </w:style>
  <w:style w:type="character" w:customStyle="1" w:styleId="16">
    <w:name w:val="批注文字 字符"/>
    <w:basedOn w:val="9"/>
    <w:link w:val="2"/>
    <w:semiHidden/>
    <w:qFormat/>
    <w:uiPriority w:val="99"/>
    <w:rPr>
      <w:rFonts w:cs="Calibri"/>
      <w:kern w:val="2"/>
      <w:sz w:val="21"/>
      <w:szCs w:val="21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cs="Calibri"/>
      <w:b/>
      <w:bCs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3381</Words>
  <Characters>3621</Characters>
  <Lines>90</Lines>
  <Paragraphs>31</Paragraphs>
  <TotalTime>91</TotalTime>
  <ScaleCrop>false</ScaleCrop>
  <LinksUpToDate>false</LinksUpToDate>
  <CharactersWithSpaces>3872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2023-01-28T01:40:00Z</dcterms:created>
  <dc:creator>6102</dc:creator>
  <cp:lastModifiedBy>admin</cp:lastModifiedBy>
  <cp:lastPrinted>2018-03-22T04:03:00Z</cp:lastPrinted>
  <dcterms:modified xsi:type="dcterms:W3CDTF">2023-02-16T03:18:28Z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EE291831B1374569B4CC98683422C489</vt:lpwstr>
  </property>
</Properties>
</file>