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生态环境</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生态环境</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生态环境</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生态环境</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生态环境</w:t>
      </w:r>
      <w:r>
        <w:rPr>
          <w:rFonts w:hint="eastAsia" w:ascii="黑体" w:hAnsi="黑体" w:eastAsia="黑体" w:cs="黑体"/>
          <w:kern w:val="0"/>
          <w:sz w:val="32"/>
          <w:szCs w:val="32"/>
        </w:rPr>
        <w:t>局</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生态环境</w:t>
      </w:r>
      <w:r>
        <w:rPr>
          <w:rFonts w:hint="eastAsia" w:ascii="黑体" w:hAnsi="黑体" w:eastAsia="黑体"/>
          <w:sz w:val="32"/>
          <w:szCs w:val="32"/>
        </w:rPr>
        <w:t>局主要职能</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根据《中共中共驻马店市委办公室驻马店市人民政府办公室关于 印发〈驻马店市生态环境局职能配置、内设机构和人员编制规定〉的 通知》（驻办文〔2019〕40号）文件规定，驻马店市生态环境局是市政府组成部门，彻落实党中央关于生态环境保护工作的方针政策和决策部署，在履行职责过程中坚持和加强党对生态环境保护工作的集中统一领导。主要职责是：</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一）负责建立健全全市生态环境基本制度。会同有关部门拟订并组织实施全市环境保护政策、规划，起草地方性法规、规章草案。会同有关部门编制并监督实施重点区城、流域、饮用水源地生态环境规划和水功能区划。参与编制全市主体功能区规划。</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二）负责全市重大环境问题的统筹协调和监督管理。牵头协调市内重特大环境污染事故和生态破坏事件的调查处理，指导协调县级政府重特大突发环境事件应急、预警工作。牵头指导实施生态环境损害赔偿制度，协调解决有关跨区城环境污染纠纷。统筹协调重点区域、流域生态环境保护工作。组织编制并监督实施市级突发环境事件应急预案、重污染天气应急预案、核与辐射事故应急预案。</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三）负责监督管理国家和省、市政府减排目标的落实。组织拟定主要污染物排放总量控制和排污权交易制度、排污许可证制度并监督实施。确定大气、水等纳污能力，提出实施总量控制的污染物名称和控制指标，监督检查市内污染物减排完成情况。实施生态环境保护目标责任制。落实国家应对气候变化、温室气体减排、低碳发展等政策、规划，组织实施应对气候变化国家战略。</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四）负责提出生态环境领域固定资产投资规模和方向、国家及省、市财政性资金安排意见。按省、市政府规定权限，审批、核准市规划内及年度计划规模内固定资产投资项目，配合有关都门做好相关组织实施和监督工作。</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五）负责全市环境污染防治的监督管理。拟定大气、水、土壤、噪声、光、恶臭、固体废物（危险废物）、化学品、移动源等污染防治管理制度、规范、标准并监督实施。会同有关部门监督管理饮用水水源地生态环境保护工作，组织指导城乡生态环境综合整治，监督指导农业面源污染治理和防止地下水污染工作，组织实施区域大气污染联防联控工作。</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六）负责生态环境准入的监督管理。受市政府委托对市重大经济和技术政策、发展规划以及重大经济开发计划进行环境影响评价，按国家规定审批或审查重大开发建设区城、规划、项目环境影响评价文件，对涉及环境保护的地方性法规、规章草案提出有关环境影响方面的意见。拟订并组织实施生态环境准入清单。</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七）负责生态环境监测工作。制定生态环境监测制度和规范，拟定相关标准并监督实施。会同有关部门统一规划生态环境质量监测站点设置，组织实施生态环境质量监测、污染源监督性监测、环境执法监测、温室气体減排监测、应急监测。组织对生态环境质量状况进行调查评价、预测预警，组织建设和管理市生态环境监测网和全市生态环境信息网；负责污染源自动监控设施监督检查。建立和实行生态环境质量公告制度，统一发布全市生态环境综合性报告和重大生态环境信息。</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八）负责生态环境科技与标准工作。组织拟定生态环境标准和技术规范，推动生态环境技术管理体系建设。负责生态环境保护科技发展和基础能力建设，加强“智慧环保”建设，推进大数据、云计算在生态环境保护中的运用。</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九）指导协调和监督生态保护修复工作。组织编制生态保护规划，监督对生态环境有影响的自然资源开发利用活动、重要生态环境建设和生态破坏恢复工作。组织制定各类自然保护地生态环境监管制度并监督执法，监督野生动植物保护、湿地生态环境保护、荒漠化防治等工作，监督生物技术环境安全，牵头生物物种（含遗传资源）工作，组织协调生物多样性保护工作。指导协调和监督农村生态环境保护，参与生态保护补偿。</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十）负责核与辐射安全的监督管理。监督国家有关政策、规划、标准落实，牵头核安全协调机制有关工作，负责辐射环境事故应急处理工作。监督管理放射源辐射安全，监督管理核技术利用、电磁辐射、伴有放射性矿产资源开发利用中的污染防治。配合做好核设施安全、核材料管制和民用核安全设备等污染治理的监督管理。参与核事故应急处理。</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（十一）统一负责生态环境监督执法。组织开展全市生态环境保护执法检查活动，查处重大生态环境违法问题，指导全市生态环境保护综合执法队伍及业务建设。</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十二）组织指导和协调生态环境宣传教育工作。拟定并组织实施全市生态环境保护宣传教育纲要，组织指导和协调全市生态环境保护宣传工作，开展生态文明建设和环境友好型社会建设的宣传教育工作，推动社会组织和公众参与，加快形成生态环境保护大格局。</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（十三）完成市委、市政府交办的其他任务。</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十四）有关职责分工。市生态环境局主要负责对本行政区域内生态环境保护工作实施统一监督管理。按照管发展必须管环保、管行业必须管环保、管生产必须管环保的要求，各相关部门要落实生态环境保护一岗双责，依法承担相关行业领域的生态环境保护职责。</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生态环境</w:t>
      </w:r>
      <w:r>
        <w:rPr>
          <w:rFonts w:hint="eastAsia" w:ascii="黑体" w:hAnsi="黑体" w:eastAsia="黑体"/>
          <w:sz w:val="32"/>
          <w:szCs w:val="32"/>
        </w:rPr>
        <w:t>局机构设置及预算单位构成</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rPr>
        <w:t>市生态环境局内设十四个职能科室，分别为：办公室、生态</w:t>
      </w:r>
    </w:p>
    <w:p>
      <w:pPr>
        <w:widowControl/>
        <w:spacing w:line="600" w:lineRule="exact"/>
        <w:rPr>
          <w:rFonts w:hint="eastAsia" w:ascii="仿宋" w:hAnsi="仿宋" w:eastAsia="仿宋" w:cs="仿宋_GB2312"/>
          <w:sz w:val="32"/>
          <w:szCs w:val="32"/>
        </w:rPr>
      </w:pPr>
      <w:r>
        <w:rPr>
          <w:rFonts w:hint="eastAsia" w:ascii="仿宋" w:hAnsi="仿宋" w:eastAsia="仿宋" w:cs="仿宋_GB2312"/>
          <w:sz w:val="32"/>
          <w:szCs w:val="32"/>
        </w:rPr>
        <w:t>环境保护督察整改科、人事科、法规科、自然生态保护科、水生态环境与科技标准科、大气环境科、土壤生态环境科、固体废物与化学品科、辐射安全监管与监测科、环境影响评价与排放科、移动源污染监管科、行政审批服务科、机关党委。</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rPr>
        <w:t>市生态环境部门预算包括局机关本级预算和局属单位预算。</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rPr>
        <w:t>1.驻马店市生态环境局机关本级；</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.驻马店市生态环境综合行政执法支队；</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.驻马店市固体废物和辐射安全技术中心；</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.驻马店市环境监控中心；</w:t>
      </w:r>
    </w:p>
    <w:p>
      <w:pPr>
        <w:widowControl/>
        <w:spacing w:line="600" w:lineRule="exact"/>
        <w:ind w:firstLine="480"/>
        <w:rPr>
          <w:rFonts w:hint="eastAsia" w:ascii="仿宋" w:hAnsi="仿宋" w:eastAsia="仿宋" w:cs="仿宋_GB2312"/>
          <w:sz w:val="32"/>
          <w:szCs w:val="32"/>
        </w:rPr>
      </w:pPr>
      <w:r>
        <w:rPr>
          <w:rFonts w:hint="eastAsia" w:ascii="仿宋" w:hAnsi="仿宋" w:eastAsia="仿宋" w:cs="仿宋_GB2312"/>
          <w:sz w:val="32"/>
          <w:szCs w:val="32"/>
        </w:rPr>
        <w:t>5.驻马店市生态环境局驿城分局；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6.驿城生态环境综合行政执法大队；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7.驻马店市环境保护局经济开发区分局；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8.驻马店市生态环境局新蔡分局；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9.新蔡县环境监测监控中心；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10.新蔡生态环境综合行政执法大队；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11.驻马店市生态环境局西平分局；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12.西平县环境监测监控中心；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13.西平生态环境综合行政执法大队；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14.驻马店市生态环境局遂平分局；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15.遂平生态环境综合行政执法大队；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16.遂平县环境监测监控中心；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17.驻马店市生态环境局上蔡分局；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18.上蔡生态环境综合行政执法大队；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19.上蔡县环境监测监控中心；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20.驻马店市生态环境局汝南分局；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21.汝南生态环境综合行政执法大队；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22.汝南县环境监测监控中心；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23.驻马店市生态环境局确山分局；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24.确山县环境监测监控中心；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25.确山生态环境综合行政执法大队；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26.驻马店市生态环境局平舆分局；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27.平舆生态环境综合行政执法大队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28.平舆县环境监测监控中心；</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29.驻马店市生态环境局泌阳分局；</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30.泌阳生态环境综合行政执法大队；</w:t>
      </w:r>
    </w:p>
    <w:p>
      <w:pPr>
        <w:widowControl/>
        <w:spacing w:line="600" w:lineRule="exact"/>
        <w:ind w:firstLine="48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31.泌阳县环境监测监控中心；</w:t>
      </w:r>
    </w:p>
    <w:p>
      <w:pPr>
        <w:widowControl/>
        <w:spacing w:line="600" w:lineRule="exact"/>
        <w:ind w:firstLine="48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32.驻马店市生态环境局正阳分局；</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生态环境</w:t>
      </w:r>
      <w:r>
        <w:rPr>
          <w:rFonts w:hint="eastAsia" w:ascii="黑体" w:hAnsi="黑体" w:eastAsia="黑体" w:cs="黑体"/>
          <w:kern w:val="0"/>
          <w:sz w:val="36"/>
          <w:szCs w:val="36"/>
        </w:rPr>
        <w:t>局</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生态环境</w:t>
      </w:r>
      <w:r>
        <w:rPr>
          <w:rFonts w:hint="eastAsia" w:ascii="仿宋" w:hAnsi="仿宋" w:eastAsia="仿宋" w:cs="仿宋_GB2312"/>
          <w:sz w:val="32"/>
          <w:szCs w:val="32"/>
        </w:rPr>
        <w:t>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21343.13</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21343.13</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增加19860.23</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1339.28</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b/>
          <w:bCs/>
          <w:color w:val="000000"/>
          <w:sz w:val="32"/>
          <w:szCs w:val="32"/>
          <w:lang w:val="en-US" w:eastAsia="zh-CN"/>
        </w:rPr>
        <w:t>2023年1月1日起正式将各县（区）生态环境分局作为市生态环境局二级预算单位实行预算经费市级统一管理</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驻马店市生态环境局</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21343.13</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lang w:val="en-US" w:eastAsia="zh-CN"/>
        </w:rPr>
        <w:t>21343.13</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驻马店市生态环境局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21343.13</w:t>
      </w:r>
      <w:r>
        <w:rPr>
          <w:rFonts w:hint="eastAsia" w:ascii="仿宋" w:hAnsi="仿宋" w:eastAsia="仿宋"/>
          <w:sz w:val="32"/>
          <w:szCs w:val="32"/>
        </w:rPr>
        <w:t>万元，其中：基本支出</w:t>
      </w:r>
      <w:r>
        <w:rPr>
          <w:rFonts w:hint="eastAsia" w:ascii="仿宋" w:hAnsi="仿宋" w:eastAsia="仿宋"/>
          <w:sz w:val="32"/>
          <w:szCs w:val="32"/>
          <w:lang w:val="en-US" w:eastAsia="zh-CN"/>
        </w:rPr>
        <w:t>18634.89</w:t>
      </w:r>
      <w:r>
        <w:rPr>
          <w:rFonts w:hint="eastAsia" w:ascii="仿宋" w:hAnsi="仿宋" w:eastAsia="仿宋"/>
          <w:sz w:val="32"/>
          <w:szCs w:val="32"/>
        </w:rPr>
        <w:t>万元，占</w:t>
      </w:r>
      <w:r>
        <w:rPr>
          <w:rFonts w:hint="eastAsia" w:ascii="仿宋" w:hAnsi="仿宋" w:eastAsia="仿宋"/>
          <w:sz w:val="32"/>
          <w:szCs w:val="32"/>
          <w:lang w:val="en-US" w:eastAsia="zh-CN"/>
        </w:rPr>
        <w:t>87.31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2708.24</w:t>
      </w:r>
      <w:r>
        <w:rPr>
          <w:rFonts w:hint="eastAsia" w:ascii="仿宋" w:hAnsi="仿宋" w:eastAsia="仿宋"/>
          <w:sz w:val="32"/>
          <w:szCs w:val="32"/>
        </w:rPr>
        <w:t>万元，占</w:t>
      </w:r>
      <w:r>
        <w:rPr>
          <w:rFonts w:hint="eastAsia" w:ascii="仿宋" w:hAnsi="仿宋" w:eastAsia="仿宋"/>
          <w:sz w:val="32"/>
          <w:szCs w:val="32"/>
          <w:lang w:val="en-US" w:eastAsia="zh-CN"/>
        </w:rPr>
        <w:t>12.69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生态环境</w:t>
      </w:r>
      <w:r>
        <w:rPr>
          <w:rFonts w:hint="eastAsia" w:ascii="仿宋" w:hAnsi="仿宋" w:eastAsia="仿宋"/>
          <w:sz w:val="32"/>
          <w:szCs w:val="32"/>
        </w:rPr>
        <w:t>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sz w:val="32"/>
          <w:szCs w:val="32"/>
          <w:lang w:val="en-US" w:eastAsia="zh-CN"/>
        </w:rPr>
        <w:t>21343.13</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w:t>
      </w:r>
      <w:r>
        <w:rPr>
          <w:rFonts w:hint="eastAsia" w:ascii="仿宋" w:hAnsi="仿宋" w:eastAsia="仿宋"/>
          <w:sz w:val="32"/>
          <w:szCs w:val="32"/>
          <w:lang w:val="en-US" w:eastAsia="zh-CN"/>
        </w:rPr>
        <w:t>增加</w:t>
      </w:r>
      <w:r>
        <w:rPr>
          <w:rFonts w:hint="eastAsia" w:ascii="仿宋" w:hAnsi="仿宋" w:eastAsia="仿宋" w:cs="仿宋_GB2312"/>
          <w:color w:val="000000"/>
          <w:sz w:val="32"/>
          <w:szCs w:val="32"/>
          <w:lang w:val="en-US" w:eastAsia="zh-CN"/>
        </w:rPr>
        <w:t>19860.23</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cs="仿宋_GB2312"/>
          <w:color w:val="000000"/>
          <w:sz w:val="32"/>
          <w:szCs w:val="32"/>
          <w:lang w:val="en-US" w:eastAsia="zh-CN"/>
        </w:rPr>
        <w:t>1339.28</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仿宋_GB2312"/>
          <w:b/>
          <w:bCs/>
          <w:color w:val="000000"/>
          <w:sz w:val="32"/>
          <w:szCs w:val="32"/>
          <w:lang w:val="en-US" w:eastAsia="zh-CN"/>
        </w:rPr>
        <w:t>2023年1月1日起正式将各县（区）生态环境分局作为市生态环境局二级预算单位实行预算经费市级统一管理</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val="en-US" w:eastAsia="zh-CN"/>
        </w:rPr>
        <w:t>生态环境</w:t>
      </w:r>
      <w:r>
        <w:rPr>
          <w:rFonts w:hint="eastAsia" w:ascii="仿宋" w:hAnsi="仿宋" w:eastAsia="仿宋" w:cs="仿宋_GB2312"/>
          <w:color w:val="333333"/>
          <w:sz w:val="32"/>
          <w:szCs w:val="32"/>
        </w:rPr>
        <w:t>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sz w:val="32"/>
          <w:szCs w:val="32"/>
          <w:lang w:val="en-US" w:eastAsia="zh-CN"/>
        </w:rPr>
        <w:t>21343.13</w:t>
      </w:r>
      <w:r>
        <w:rPr>
          <w:rFonts w:hint="eastAsia" w:ascii="仿宋" w:hAnsi="仿宋" w:eastAsia="仿宋" w:cs="仿宋_GB2312"/>
          <w:color w:val="000000"/>
          <w:sz w:val="32"/>
          <w:szCs w:val="32"/>
        </w:rPr>
        <w:t>万元。主要用于以下方面：节能环保支出</w:t>
      </w:r>
      <w:r>
        <w:rPr>
          <w:rFonts w:hint="eastAsia" w:ascii="仿宋" w:hAnsi="仿宋" w:eastAsia="仿宋" w:cs="仿宋_GB2312"/>
          <w:color w:val="000000"/>
          <w:sz w:val="32"/>
          <w:szCs w:val="32"/>
          <w:lang w:val="en-US" w:eastAsia="zh-CN"/>
        </w:rPr>
        <w:t>10729.16万元</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占</w:t>
      </w:r>
      <w:r>
        <w:rPr>
          <w:rFonts w:hint="eastAsia" w:ascii="仿宋" w:hAnsi="仿宋" w:eastAsia="仿宋" w:cs="仿宋_GB2312"/>
          <w:color w:val="000000"/>
          <w:sz w:val="32"/>
          <w:szCs w:val="32"/>
          <w:lang w:val="en-US" w:eastAsia="zh-CN"/>
        </w:rPr>
        <w:t>50.27</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一般公共服务（类）支出</w:t>
      </w:r>
      <w:r>
        <w:rPr>
          <w:rFonts w:hint="eastAsia" w:ascii="仿宋" w:hAnsi="仿宋" w:eastAsia="仿宋" w:cs="仿宋_GB2312"/>
          <w:color w:val="000000"/>
          <w:sz w:val="32"/>
          <w:szCs w:val="32"/>
          <w:lang w:val="en-US" w:eastAsia="zh-CN"/>
        </w:rPr>
        <w:t>6300.98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29.52</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1960.1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9.18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1146.94</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5.38</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1205.95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5.65</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18634.89</w:t>
      </w:r>
      <w:r>
        <w:rPr>
          <w:rFonts w:hint="eastAsia" w:ascii="仿宋" w:hAnsi="仿宋" w:eastAsia="仿宋"/>
          <w:sz w:val="32"/>
          <w:szCs w:val="32"/>
        </w:rPr>
        <w:t>万元，其中：人员经费</w:t>
      </w:r>
      <w:r>
        <w:rPr>
          <w:rFonts w:hint="eastAsia" w:ascii="仿宋" w:hAnsi="仿宋" w:eastAsia="仿宋"/>
          <w:sz w:val="32"/>
          <w:szCs w:val="32"/>
          <w:lang w:val="en-US" w:eastAsia="zh-CN"/>
        </w:rPr>
        <w:t>17134.09</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1500.8</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129.5</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增加70.7</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rPr>
        <w:t>了</w:t>
      </w:r>
      <w:r>
        <w:rPr>
          <w:rFonts w:hint="eastAsia" w:ascii="仿宋" w:hAnsi="仿宋" w:eastAsia="仿宋"/>
          <w:sz w:val="32"/>
          <w:szCs w:val="32"/>
          <w:lang w:val="en-US" w:eastAsia="zh-CN"/>
        </w:rPr>
        <w:t>120.24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 xml:space="preserve">主要原因是2023年1月1日起正式将各县（区）生态环境分局作为市生态环境局二级预算单位实行预算经费市级统一管理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w:t>
      </w:r>
      <w:bookmarkStart w:id="0" w:name="_GoBack"/>
      <w:bookmarkEnd w:id="0"/>
      <w:r>
        <w:rPr>
          <w:rFonts w:hint="eastAsia" w:ascii="仿宋" w:hAnsi="仿宋" w:eastAsia="仿宋"/>
          <w:sz w:val="32"/>
          <w:szCs w:val="32"/>
        </w:rPr>
        <w:t>于单位工作人员公务出国（境）的住宿费、旅费、伙食补助费、杂费、培训费等支出。我局</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年持平。主要原因是</w:t>
      </w:r>
      <w:r>
        <w:rPr>
          <w:rFonts w:hint="eastAsia" w:ascii="仿宋" w:hAnsi="仿宋" w:eastAsia="仿宋"/>
          <w:sz w:val="32"/>
          <w:szCs w:val="32"/>
          <w:lang w:val="en-US" w:eastAsia="zh-CN"/>
        </w:rPr>
        <w:t>无此项支出</w:t>
      </w:r>
      <w:r>
        <w:rPr>
          <w:rFonts w:hint="eastAsia" w:ascii="仿宋" w:hAnsi="仿宋" w:eastAsia="仿宋"/>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118.5</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2022年减少0万元，主要原因是无公务用车购置计划。</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118.5万元，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增加59.7</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rPr>
        <w:t>了</w:t>
      </w:r>
      <w:r>
        <w:rPr>
          <w:rFonts w:hint="eastAsia" w:ascii="仿宋" w:hAnsi="仿宋" w:eastAsia="仿宋"/>
          <w:sz w:val="32"/>
          <w:szCs w:val="32"/>
          <w:lang w:val="en-US" w:eastAsia="zh-CN"/>
        </w:rPr>
        <w:t>50.38</w:t>
      </w:r>
      <w:r>
        <w:rPr>
          <w:rFonts w:ascii="仿宋" w:hAnsi="仿宋" w:eastAsia="仿宋"/>
          <w:sz w:val="32"/>
          <w:szCs w:val="32"/>
        </w:rPr>
        <w:t>%</w:t>
      </w:r>
      <w:r>
        <w:rPr>
          <w:rFonts w:hint="eastAsia" w:ascii="仿宋" w:hAnsi="仿宋" w:eastAsia="仿宋"/>
          <w:sz w:val="32"/>
          <w:szCs w:val="32"/>
        </w:rPr>
        <w:t>，主要原因是2023年1月1日起正式将各县（区）生态环境分局作为市生态环境局二级预算单位实行预算经费市级统一管理。</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11</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增加11</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rPr>
        <w:t>了</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2023年1月1日起正式将各县（区）生态环境分局作为市生态环境局二级预算单位实行预算经费市级统一管理。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生态环境</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1500.8</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30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15</w:t>
      </w:r>
      <w:r>
        <w:rPr>
          <w:rFonts w:hint="eastAsia" w:ascii="仿宋" w:hAnsi="仿宋" w:eastAsia="仿宋"/>
          <w:sz w:val="32"/>
          <w:szCs w:val="32"/>
        </w:rPr>
        <w:t>万元，政府采购服务预算</w:t>
      </w:r>
      <w:r>
        <w:rPr>
          <w:rFonts w:hint="eastAsia" w:ascii="仿宋" w:hAnsi="仿宋" w:eastAsia="仿宋"/>
          <w:sz w:val="32"/>
          <w:szCs w:val="32"/>
          <w:lang w:val="en-US" w:eastAsia="zh-CN"/>
        </w:rPr>
        <w:t>15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年期末，我局共有车辆</w:t>
      </w:r>
      <w:r>
        <w:rPr>
          <w:rFonts w:hint="default" w:ascii="仿宋" w:hAnsi="仿宋" w:eastAsia="仿宋"/>
          <w:sz w:val="32"/>
          <w:szCs w:val="32"/>
          <w:lang w:val="en-US" w:eastAsia="zh-CN"/>
        </w:rPr>
        <w:t>182</w:t>
      </w:r>
      <w:r>
        <w:rPr>
          <w:rFonts w:hint="eastAsia" w:ascii="仿宋" w:hAnsi="仿宋" w:eastAsia="仿宋"/>
          <w:sz w:val="32"/>
          <w:szCs w:val="32"/>
        </w:rPr>
        <w:t>辆，其中：一般公务用车</w:t>
      </w:r>
      <w:r>
        <w:rPr>
          <w:rFonts w:hint="default" w:ascii="仿宋" w:hAnsi="仿宋" w:eastAsia="仿宋"/>
          <w:sz w:val="32"/>
          <w:szCs w:val="32"/>
          <w:lang w:val="en-US" w:eastAsia="zh-CN"/>
        </w:rPr>
        <w:t>46</w:t>
      </w:r>
      <w:r>
        <w:rPr>
          <w:rFonts w:hint="eastAsia" w:ascii="仿宋" w:hAnsi="仿宋" w:eastAsia="仿宋"/>
          <w:sz w:val="32"/>
          <w:szCs w:val="32"/>
        </w:rPr>
        <w:t>辆、一般执法执勤用车</w:t>
      </w:r>
      <w:r>
        <w:rPr>
          <w:rFonts w:hint="default" w:ascii="仿宋" w:hAnsi="仿宋" w:eastAsia="仿宋"/>
          <w:sz w:val="32"/>
          <w:szCs w:val="32"/>
          <w:lang w:val="en-US" w:eastAsia="zh-CN"/>
        </w:rPr>
        <w:t>128</w:t>
      </w:r>
      <w:r>
        <w:rPr>
          <w:rFonts w:hint="eastAsia" w:ascii="仿宋" w:hAnsi="仿宋" w:eastAsia="仿宋"/>
          <w:sz w:val="32"/>
          <w:szCs w:val="32"/>
        </w:rPr>
        <w:t>辆、其他用车</w:t>
      </w:r>
      <w:r>
        <w:rPr>
          <w:rFonts w:hint="default" w:ascii="仿宋" w:hAnsi="仿宋" w:eastAsia="仿宋"/>
          <w:sz w:val="32"/>
          <w:szCs w:val="32"/>
          <w:lang w:val="en-US" w:eastAsia="zh-CN"/>
        </w:rPr>
        <w:t>14</w:t>
      </w:r>
      <w:r>
        <w:rPr>
          <w:rFonts w:hint="eastAsia" w:ascii="仿宋" w:hAnsi="仿宋" w:eastAsia="仿宋"/>
          <w:sz w:val="32"/>
          <w:szCs w:val="32"/>
        </w:rPr>
        <w:t>辆，其他用车主要是机要通信用车</w:t>
      </w:r>
      <w:r>
        <w:rPr>
          <w:rFonts w:hint="default" w:ascii="仿宋" w:hAnsi="仿宋" w:eastAsia="仿宋"/>
          <w:sz w:val="32"/>
          <w:szCs w:val="32"/>
          <w:lang w:val="en-US" w:eastAsia="zh-CN"/>
        </w:rPr>
        <w:t>2</w:t>
      </w:r>
      <w:r>
        <w:rPr>
          <w:rFonts w:hint="eastAsia" w:ascii="仿宋" w:hAnsi="仿宋" w:eastAsia="仿宋"/>
          <w:sz w:val="32"/>
          <w:szCs w:val="32"/>
        </w:rPr>
        <w:t>辆、应急车辆</w:t>
      </w:r>
      <w:r>
        <w:rPr>
          <w:rFonts w:hint="default" w:ascii="仿宋" w:hAnsi="仿宋" w:eastAsia="仿宋"/>
          <w:sz w:val="32"/>
          <w:szCs w:val="32"/>
          <w:lang w:val="en-US" w:eastAsia="zh-CN"/>
        </w:rPr>
        <w:t>12</w:t>
      </w:r>
      <w:r>
        <w:rPr>
          <w:rFonts w:hint="eastAsia" w:ascii="仿宋" w:hAnsi="仿宋" w:eastAsia="仿宋"/>
          <w:sz w:val="32"/>
          <w:szCs w:val="32"/>
        </w:rPr>
        <w:t>辆、老干部用车</w:t>
      </w:r>
      <w:r>
        <w:rPr>
          <w:rFonts w:hint="default"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default" w:ascii="仿宋" w:hAnsi="仿宋" w:eastAsia="仿宋"/>
          <w:sz w:val="32"/>
          <w:szCs w:val="32"/>
          <w:lang w:val="en-US" w:eastAsia="zh-CN"/>
        </w:rPr>
        <w:t>1</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default" w:ascii="仿宋" w:hAnsi="仿宋" w:eastAsia="仿宋"/>
          <w:sz w:val="32"/>
          <w:szCs w:val="32"/>
          <w:lang w:val="en-US" w:eastAsia="zh-CN"/>
        </w:rPr>
        <w:t>11</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lang w:val="en-US"/>
        </w:rPr>
        <w:t xml:space="preserve">  </w:t>
      </w:r>
      <w:r>
        <w:rPr>
          <w:rFonts w:hint="eastAsia" w:ascii="黑体" w:hAnsi="黑体" w:eastAsia="黑体" w:cs="黑体"/>
          <w:sz w:val="32"/>
          <w:szCs w:val="32"/>
          <w:lang w:val="en-US" w:eastAsia="zh-CN"/>
        </w:rPr>
        <w:t>1、</w:t>
      </w:r>
      <w:r>
        <w:rPr>
          <w:rFonts w:hint="eastAsia" w:ascii="黑体" w:hAnsi="黑体" w:eastAsia="黑体" w:cs="黑体"/>
          <w:sz w:val="32"/>
          <w:szCs w:val="32"/>
        </w:rPr>
        <w:t>驻马店市</w:t>
      </w:r>
      <w:r>
        <w:rPr>
          <w:rFonts w:hint="eastAsia" w:ascii="黑体" w:hAnsi="黑体" w:eastAsia="黑体" w:cs="黑体"/>
          <w:sz w:val="32"/>
          <w:szCs w:val="32"/>
          <w:lang w:val="en-US" w:eastAsia="zh-CN"/>
        </w:rPr>
        <w:t>生态环境</w:t>
      </w:r>
      <w:r>
        <w:rPr>
          <w:rFonts w:hint="eastAsia" w:ascii="黑体" w:hAnsi="黑体" w:eastAsia="黑体" w:cs="黑体"/>
          <w:sz w:val="32"/>
          <w:szCs w:val="32"/>
        </w:rPr>
        <w:t>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numPr>
          <w:ilvl w:val="0"/>
          <w:numId w:val="0"/>
        </w:numPr>
        <w:adjustRightInd w:val="0"/>
        <w:snapToGrid w:val="0"/>
        <w:spacing w:line="600" w:lineRule="exact"/>
        <w:ind w:firstLine="1280" w:firstLineChars="400"/>
        <w:jc w:val="both"/>
        <w:rPr>
          <w:rFonts w:hint="eastAsia"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驻马店市</w:t>
      </w:r>
      <w:r>
        <w:rPr>
          <w:rFonts w:hint="eastAsia" w:ascii="黑体" w:hAnsi="黑体" w:eastAsia="黑体" w:cs="黑体"/>
          <w:sz w:val="32"/>
          <w:szCs w:val="32"/>
          <w:lang w:val="en-US" w:eastAsia="zh-CN"/>
        </w:rPr>
        <w:t>生态环境</w:t>
      </w:r>
      <w:r>
        <w:rPr>
          <w:rFonts w:hint="eastAsia" w:ascii="黑体" w:hAnsi="黑体" w:eastAsia="黑体" w:cs="黑体"/>
          <w:sz w:val="32"/>
          <w:szCs w:val="32"/>
        </w:rPr>
        <w:t>局</w:t>
      </w:r>
      <w:r>
        <w:rPr>
          <w:rFonts w:hint="eastAsia" w:ascii="黑体" w:hAnsi="黑体" w:eastAsia="黑体" w:cs="黑体"/>
          <w:sz w:val="32"/>
          <w:szCs w:val="32"/>
          <w:lang w:eastAsia="zh-CN"/>
        </w:rPr>
        <w:t>2023</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预算</w:t>
      </w:r>
      <w:r>
        <w:rPr>
          <w:rFonts w:hint="eastAsia" w:ascii="黑体" w:hAnsi="黑体" w:eastAsia="黑体" w:cs="黑体"/>
          <w:sz w:val="32"/>
          <w:szCs w:val="32"/>
          <w:lang w:eastAsia="zh-CN"/>
        </w:rPr>
        <w:t>说明</w:t>
      </w:r>
    </w:p>
    <w:p>
      <w:pPr>
        <w:numPr>
          <w:ilvl w:val="0"/>
          <w:numId w:val="0"/>
        </w:numPr>
        <w:adjustRightInd w:val="0"/>
        <w:snapToGrid w:val="0"/>
        <w:spacing w:line="600" w:lineRule="exact"/>
        <w:jc w:val="both"/>
        <w:rPr>
          <w:rFonts w:hint="eastAsia" w:ascii="黑体" w:hAnsi="黑体" w:eastAsia="黑体" w:cs="黑体"/>
          <w:sz w:val="32"/>
          <w:szCs w:val="32"/>
          <w:lang w:val="en-US" w:eastAsia="zh-CN"/>
        </w:rPr>
      </w:pPr>
      <w:r>
        <w:rPr>
          <w:rFonts w:hint="default" w:ascii="黑体" w:hAnsi="黑体" w:eastAsia="黑体" w:cs="黑体"/>
          <w:sz w:val="32"/>
          <w:szCs w:val="32"/>
          <w:lang w:val="en-US"/>
        </w:rPr>
        <w:t xml:space="preserve">        </w:t>
      </w:r>
      <w:r>
        <w:rPr>
          <w:rFonts w:hint="eastAsia" w:ascii="黑体" w:hAnsi="黑体" w:eastAsia="黑体" w:cs="黑体"/>
          <w:sz w:val="32"/>
          <w:szCs w:val="32"/>
          <w:lang w:val="en-US" w:eastAsia="zh-CN"/>
        </w:rPr>
        <w:t>3、驻马店市生态环境综合行政执法支队单位预算说明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4、驻马店市固体废物和辐射安全技术中心单位预算说明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5、驻马店市环境监控中心单位预算说明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6、驻马店市生态环境局驿城分局单位预算说明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7、驿城生态环境综合行政执法大队单位预算说明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8、驻马店市环境保护局经济开发区分局单位预算说明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9、驻马店市生态环境局新蔡分局单位预算说明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10、新蔡县环境监测监控中心单位预算说明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11、新蔡生态环境综合行政执法大队单位预算说明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12、驻马店市生态环境局西平分局单位预算说明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13、西平县环境监测监控中心单位预算说明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14、西平生态环境综合行政执法大队单位预算说明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15、驻马店市生态环境局遂平分局单位预算说明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16、遂平生态环境综合行政执法大队单位预算说明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17、遂平县环境监测监控中心单位预算说明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18、驻马店市生态环境局上蔡分局单位预算说明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19、上蔡生态环境综合行政执法大队单位预算说明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20、上蔡县环境监测监控中心单位预算说明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21、驻马店市生态环境局汝南分局单位预算说明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22、汝南生态环境综合行政执法大队单位预算说明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23、汝南县环境监测监控中心单位预算说明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24、驻马店市生态环境局确山分局单位预算说明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25、确山县环境监测监控中心单位预算说明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26、确山生态环境综合行政执法大队单位预算说明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27、驻马店市生态环境局平舆分局单位预算说明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28、平舆生态环境综合行政执法大队单位预算说明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29、平舆县环境监测监控中心单位预算说明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30、驻马店市生态环境局泌阳分局单位预算说明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31、泌阳生态环境综合行政执法大队单位预算说明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32、泌阳县环境监测监控中心单位预算说明</w:t>
      </w:r>
    </w:p>
    <w:p>
      <w:pPr>
        <w:numPr>
          <w:ilvl w:val="0"/>
          <w:numId w:val="0"/>
        </w:numPr>
        <w:adjustRightInd w:val="0"/>
        <w:snapToGrid w:val="0"/>
        <w:spacing w:line="600" w:lineRule="exact"/>
        <w:ind w:leftChars="0" w:firstLine="1280" w:firstLine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33、驻马店市生态环境局正阳分局单位预算说明</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7B92A66"/>
    <w:rsid w:val="08462DA7"/>
    <w:rsid w:val="093D1640"/>
    <w:rsid w:val="0BF14E45"/>
    <w:rsid w:val="0CB32593"/>
    <w:rsid w:val="0F0C5B71"/>
    <w:rsid w:val="10F7009F"/>
    <w:rsid w:val="1488753C"/>
    <w:rsid w:val="14C40A31"/>
    <w:rsid w:val="16B563C7"/>
    <w:rsid w:val="1AFF2417"/>
    <w:rsid w:val="1EFB577C"/>
    <w:rsid w:val="21C87751"/>
    <w:rsid w:val="34787E99"/>
    <w:rsid w:val="357C6CFE"/>
    <w:rsid w:val="35DE212D"/>
    <w:rsid w:val="501105F7"/>
    <w:rsid w:val="64940C6F"/>
    <w:rsid w:val="684A26C4"/>
    <w:rsid w:val="70B663A3"/>
    <w:rsid w:val="7DDFB47F"/>
    <w:rsid w:val="DD962DAF"/>
    <w:rsid w:val="EF11CE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6389</Words>
  <Characters>6796</Characters>
  <Lines>41</Lines>
  <Paragraphs>11</Paragraphs>
  <TotalTime>0</TotalTime>
  <ScaleCrop>false</ScaleCrop>
  <LinksUpToDate>false</LinksUpToDate>
  <CharactersWithSpaces>6826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2017-11-04T04:07:00Z</dcterms:created>
  <dc:creator>6102</dc:creator>
  <cp:lastModifiedBy>admin</cp:lastModifiedBy>
  <cp:lastPrinted>2018-03-23T04:03:00Z</cp:lastPrinted>
  <dcterms:modified xsi:type="dcterms:W3CDTF">2023-02-06T10:02:07Z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